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AD2D0" w14:textId="0C8066B3" w:rsidR="00505A02" w:rsidRDefault="00505A02" w:rsidP="00505A02">
      <w:pPr>
        <w:pStyle w:val="Title"/>
      </w:pPr>
      <w:r>
        <w:t xml:space="preserve">NIS 2 voor </w:t>
      </w:r>
      <w:r w:rsidRPr="00505A02">
        <w:t>Humankind</w:t>
      </w:r>
    </w:p>
    <w:p w14:paraId="0D0DA412" w14:textId="2F46DB90" w:rsidR="00505A02" w:rsidRDefault="00505A02">
      <w:r w:rsidRPr="00505A02">
        <w:t>Richard Kranendonk</w:t>
      </w:r>
      <w:r>
        <w:t xml:space="preserve">, </w:t>
      </w:r>
      <w:r w:rsidRPr="00505A02">
        <w:t>22 oktober 2024</w:t>
      </w:r>
    </w:p>
    <w:p w14:paraId="33C2A768" w14:textId="77777777" w:rsidR="00770A5C" w:rsidRDefault="00770A5C"/>
    <w:p w14:paraId="1BDA1C8D" w14:textId="52F79084" w:rsidR="00770A5C" w:rsidRDefault="00770A5C" w:rsidP="00770A5C">
      <w:pPr>
        <w:pStyle w:val="Heading1"/>
      </w:pPr>
      <w:bookmarkStart w:id="0" w:name="_Toc180508514"/>
      <w:r>
        <w:t>Inhoud</w:t>
      </w:r>
      <w:bookmarkEnd w:id="0"/>
    </w:p>
    <w:p w14:paraId="66DA8B98" w14:textId="77777777" w:rsidR="00505A02" w:rsidRDefault="00505A02"/>
    <w:p w14:paraId="258A8060" w14:textId="61ABD067" w:rsidR="00665577" w:rsidRDefault="00770A5C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0508514" w:history="1">
        <w:r w:rsidR="00665577" w:rsidRPr="0086414A">
          <w:rPr>
            <w:rStyle w:val="Hyperlink"/>
            <w:noProof/>
          </w:rPr>
          <w:t>Inhoud</w:t>
        </w:r>
        <w:r w:rsidR="00665577">
          <w:rPr>
            <w:noProof/>
            <w:webHidden/>
          </w:rPr>
          <w:tab/>
        </w:r>
        <w:r w:rsidR="00665577">
          <w:rPr>
            <w:noProof/>
            <w:webHidden/>
          </w:rPr>
          <w:fldChar w:fldCharType="begin"/>
        </w:r>
        <w:r w:rsidR="00665577">
          <w:rPr>
            <w:noProof/>
            <w:webHidden/>
          </w:rPr>
          <w:instrText xml:space="preserve"> PAGEREF _Toc180508514 \h </w:instrText>
        </w:r>
        <w:r w:rsidR="00665577">
          <w:rPr>
            <w:noProof/>
            <w:webHidden/>
          </w:rPr>
        </w:r>
        <w:r w:rsidR="00665577">
          <w:rPr>
            <w:noProof/>
            <w:webHidden/>
          </w:rPr>
          <w:fldChar w:fldCharType="separate"/>
        </w:r>
        <w:r w:rsidR="00665577">
          <w:rPr>
            <w:noProof/>
            <w:webHidden/>
          </w:rPr>
          <w:t>1</w:t>
        </w:r>
        <w:r w:rsidR="00665577">
          <w:rPr>
            <w:noProof/>
            <w:webHidden/>
          </w:rPr>
          <w:fldChar w:fldCharType="end"/>
        </w:r>
      </w:hyperlink>
    </w:p>
    <w:p w14:paraId="4D6B9B98" w14:textId="6E0FEAC0" w:rsidR="00665577" w:rsidRDefault="00665577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0508515" w:history="1">
        <w:r w:rsidRPr="0086414A">
          <w:rPr>
            <w:rStyle w:val="Hyperlink"/>
            <w:noProof/>
          </w:rPr>
          <w:t>Inleiding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_Toc180508515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43D0351" w14:textId="050A6594" w:rsidR="00665577" w:rsidRDefault="00665577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0508516" w:history="1">
        <w:r w:rsidRPr="0086414A">
          <w:rPr>
            <w:rStyle w:val="Hyperlink"/>
            <w:noProof/>
            <w:lang w:val="nl-NL"/>
          </w:rPr>
          <w:t>Verplichtingen voor organisaties onder de NIS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_Toc180508516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3B4FFE3" w14:textId="6B9A475D" w:rsidR="00665577" w:rsidRDefault="00665577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0508517" w:history="1">
        <w:r w:rsidRPr="0086414A">
          <w:rPr>
            <w:rStyle w:val="Hyperlink"/>
            <w:noProof/>
            <w:lang w:val="nl-NL"/>
          </w:rPr>
          <w:t>Zorgplicht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_Toc180508517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1C9698D" w14:textId="642861F5" w:rsidR="00665577" w:rsidRDefault="00665577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0508518" w:history="1">
        <w:r w:rsidRPr="0086414A">
          <w:rPr>
            <w:rStyle w:val="Hyperlink"/>
            <w:noProof/>
            <w:lang w:val="nl-NL"/>
          </w:rPr>
          <w:t>Risicoanalyse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_Toc180508518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6E32801" w14:textId="27DBCFB0" w:rsidR="00665577" w:rsidRDefault="00665577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0508519" w:history="1">
        <w:r w:rsidRPr="0086414A">
          <w:rPr>
            <w:rStyle w:val="Hyperlink"/>
            <w:noProof/>
            <w:lang w:val="nl-NL"/>
          </w:rPr>
          <w:t>Maatregelen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_Toc180508519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38289D9" w14:textId="2662A02A" w:rsidR="00665577" w:rsidRDefault="00665577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0508520" w:history="1">
        <w:r w:rsidRPr="0086414A">
          <w:rPr>
            <w:rStyle w:val="Hyperlink"/>
            <w:noProof/>
            <w:lang w:val="en-US"/>
          </w:rPr>
          <w:t>Incidentrespons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_Toc180508520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1EF41B8" w14:textId="791AADAB" w:rsidR="00665577" w:rsidRDefault="00665577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0508521" w:history="1">
        <w:r w:rsidRPr="0086414A">
          <w:rPr>
            <w:rStyle w:val="Hyperlink"/>
            <w:noProof/>
            <w:lang w:val="en-US"/>
          </w:rPr>
          <w:t>Toeleveringsketen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_Toc180508521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2B8FB4B" w14:textId="3400F8F0" w:rsidR="00665577" w:rsidRDefault="00665577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0508522" w:history="1">
        <w:r w:rsidRPr="0086414A">
          <w:rPr>
            <w:rStyle w:val="Hyperlink"/>
            <w:noProof/>
            <w:lang w:val="en-US"/>
          </w:rPr>
          <w:t>Meldplicht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_Toc180508522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D8D6914" w14:textId="2C6737C4" w:rsidR="00665577" w:rsidRDefault="00665577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0508523" w:history="1">
        <w:r w:rsidRPr="0086414A">
          <w:rPr>
            <w:rStyle w:val="Hyperlink"/>
            <w:noProof/>
            <w:lang w:val="nl-NL"/>
          </w:rPr>
          <w:t>Verantwoordelijkheid bestuur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_Toc180508523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504EF44" w14:textId="39CB727C" w:rsidR="00665577" w:rsidRDefault="00665577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80508524" w:history="1">
        <w:r w:rsidRPr="0086414A">
          <w:rPr>
            <w:rStyle w:val="Hyperlink"/>
            <w:noProof/>
            <w:lang w:val="nl-NL"/>
          </w:rPr>
          <w:t>Verhouding van deze verplichtingen tot het Project Informatiebeveiliging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_Toc180508524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869CDE" w14:textId="595BFD16" w:rsidR="00770A5C" w:rsidRDefault="00770A5C">
      <w:r>
        <w:fldChar w:fldCharType="end"/>
      </w:r>
    </w:p>
    <w:p w14:paraId="36427285" w14:textId="77777777" w:rsidR="00770A5C" w:rsidRDefault="00770A5C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15B430B8" w14:textId="42B509B6" w:rsidR="00505A02" w:rsidRDefault="00505A02" w:rsidP="00505A02">
      <w:pPr>
        <w:pStyle w:val="Heading1"/>
      </w:pPr>
      <w:bookmarkStart w:id="1" w:name="_Toc180508515"/>
      <w:r>
        <w:lastRenderedPageBreak/>
        <w:t>Inleiding</w:t>
      </w:r>
      <w:bookmarkEnd w:id="1"/>
    </w:p>
    <w:p w14:paraId="3BAA6012" w14:textId="3C902C3F" w:rsidR="00505A02" w:rsidRPr="00505A02" w:rsidRDefault="00505A02" w:rsidP="00505A02">
      <w:pPr>
        <w:rPr>
          <w:b/>
          <w:bCs/>
        </w:rPr>
      </w:pPr>
      <w:r w:rsidRPr="00505A02">
        <w:rPr>
          <w:b/>
          <w:bCs/>
        </w:rPr>
        <w:t>Wat is de NIS 2?</w:t>
      </w:r>
    </w:p>
    <w:p w14:paraId="4151401C" w14:textId="71A75665" w:rsidR="00505A02" w:rsidRDefault="00505A02" w:rsidP="00505A02">
      <w:pPr>
        <w:rPr>
          <w:lang w:val="nl-NL"/>
        </w:rPr>
      </w:pPr>
      <w:r>
        <w:t>De NIS 2 (</w:t>
      </w:r>
      <w:r w:rsidRPr="00505A02">
        <w:rPr>
          <w:lang w:val="nl-NL"/>
        </w:rPr>
        <w:t xml:space="preserve">Network </w:t>
      </w:r>
      <w:proofErr w:type="spellStart"/>
      <w:r w:rsidRPr="00505A02">
        <w:rPr>
          <w:lang w:val="nl-NL"/>
        </w:rPr>
        <w:t>and</w:t>
      </w:r>
      <w:proofErr w:type="spellEnd"/>
      <w:r w:rsidRPr="00505A02">
        <w:rPr>
          <w:lang w:val="nl-NL"/>
        </w:rPr>
        <w:t xml:space="preserve"> Information </w:t>
      </w:r>
      <w:r w:rsidRPr="00505A02">
        <w:rPr>
          <w:lang w:val="nl-NL"/>
        </w:rPr>
        <w:t>S</w:t>
      </w:r>
      <w:r w:rsidRPr="00505A02">
        <w:rPr>
          <w:lang w:val="nl-NL"/>
        </w:rPr>
        <w:t xml:space="preserve">ecurity </w:t>
      </w:r>
      <w:proofErr w:type="spellStart"/>
      <w:r w:rsidRPr="00505A02">
        <w:rPr>
          <w:lang w:val="nl-NL"/>
        </w:rPr>
        <w:t>directive</w:t>
      </w:r>
      <w:proofErr w:type="spellEnd"/>
      <w:r w:rsidRPr="00505A02">
        <w:rPr>
          <w:lang w:val="nl-NL"/>
        </w:rPr>
        <w:t xml:space="preserve">) is een Europese richtlijn met als doel </w:t>
      </w:r>
      <w:r>
        <w:rPr>
          <w:lang w:val="nl-NL"/>
        </w:rPr>
        <w:t>i</w:t>
      </w:r>
      <w:r w:rsidRPr="00505A02">
        <w:rPr>
          <w:lang w:val="nl-NL"/>
        </w:rPr>
        <w:t>n voor de samenleving essentiële en belangrijke sectoren</w:t>
      </w:r>
      <w:r>
        <w:rPr>
          <w:lang w:val="nl-NL"/>
        </w:rPr>
        <w:t xml:space="preserve"> de </w:t>
      </w:r>
      <w:r w:rsidRPr="00505A02">
        <w:rPr>
          <w:lang w:val="nl-NL"/>
        </w:rPr>
        <w:t xml:space="preserve">continuïteit van dienstverlening en bescherming van informatie </w:t>
      </w:r>
      <w:r>
        <w:rPr>
          <w:lang w:val="nl-NL"/>
        </w:rPr>
        <w:t xml:space="preserve">te </w:t>
      </w:r>
      <w:r w:rsidRPr="00505A02">
        <w:rPr>
          <w:lang w:val="nl-NL"/>
        </w:rPr>
        <w:t>waarborgen</w:t>
      </w:r>
      <w:r>
        <w:rPr>
          <w:lang w:val="nl-NL"/>
        </w:rPr>
        <w:t>.</w:t>
      </w:r>
    </w:p>
    <w:p w14:paraId="1D5F61B0" w14:textId="77777777" w:rsidR="00FD7969" w:rsidRDefault="00FD7969" w:rsidP="00505A02">
      <w:pPr>
        <w:rPr>
          <w:lang w:val="nl-NL"/>
        </w:rPr>
      </w:pPr>
    </w:p>
    <w:p w14:paraId="1BBA76EB" w14:textId="5656333E" w:rsidR="00505A02" w:rsidRPr="00505A02" w:rsidRDefault="00505A02" w:rsidP="00505A02">
      <w:pPr>
        <w:rPr>
          <w:b/>
          <w:bCs/>
          <w:lang w:val="nl-NL"/>
        </w:rPr>
      </w:pPr>
      <w:r w:rsidRPr="00505A02">
        <w:rPr>
          <w:b/>
          <w:bCs/>
          <w:lang w:val="nl-NL"/>
        </w:rPr>
        <w:t>Tijdslijn</w:t>
      </w:r>
    </w:p>
    <w:p w14:paraId="7F30395E" w14:textId="487A6D28" w:rsidR="00505A02" w:rsidRDefault="00505A02" w:rsidP="00505A02">
      <w:pPr>
        <w:rPr>
          <w:lang w:val="nl-NL"/>
        </w:rPr>
      </w:pPr>
      <w:r>
        <w:rPr>
          <w:lang w:val="nl-NL"/>
        </w:rPr>
        <w:t xml:space="preserve">De richtlijn is op Europees niveau op 16 januari 2023 in werking getreden, met een deadline voor nationale omzettingswetten in de lidstaten van 17 oktober 2024. Alleen </w:t>
      </w:r>
      <w:r w:rsidRPr="00505A02">
        <w:rPr>
          <w:lang w:val="nl-NL"/>
        </w:rPr>
        <w:t>België en Kroatië h</w:t>
      </w:r>
      <w:r w:rsidRPr="00505A02">
        <w:rPr>
          <w:lang w:val="nl-NL"/>
        </w:rPr>
        <w:t xml:space="preserve">ebben dat gehaald – Nederland verwacht </w:t>
      </w:r>
      <w:r w:rsidRPr="00505A02">
        <w:rPr>
          <w:lang w:val="nl-NL"/>
        </w:rPr>
        <w:t>dat de wet pas in het tweede of derde kwartaal van 2025 in werking kan treden, omdat 'de omzetting naar nationale wetgeving een omvangrijk en complex traject is'</w:t>
      </w:r>
      <w:r>
        <w:rPr>
          <w:lang w:val="nl-NL"/>
        </w:rPr>
        <w:t>.</w:t>
      </w:r>
    </w:p>
    <w:p w14:paraId="1E9B0471" w14:textId="77777777" w:rsidR="00FD7969" w:rsidRDefault="00FD7969" w:rsidP="00505A02">
      <w:pPr>
        <w:rPr>
          <w:lang w:val="nl-NL"/>
        </w:rPr>
      </w:pPr>
    </w:p>
    <w:p w14:paraId="2CBC61E5" w14:textId="58402DEF" w:rsidR="00505A02" w:rsidRDefault="00505A02" w:rsidP="00505A02">
      <w:pPr>
        <w:rPr>
          <w:b/>
          <w:bCs/>
          <w:lang w:val="nl-NL"/>
        </w:rPr>
      </w:pPr>
      <w:r>
        <w:rPr>
          <w:b/>
          <w:bCs/>
          <w:lang w:val="nl-NL"/>
        </w:rPr>
        <w:t>Toepassingsgebied</w:t>
      </w:r>
    </w:p>
    <w:p w14:paraId="729E2E95" w14:textId="4CD272B4" w:rsidR="00505A02" w:rsidRDefault="00004C77" w:rsidP="00505A02">
      <w:pPr>
        <w:rPr>
          <w:lang w:val="nl-NL"/>
        </w:rPr>
      </w:pPr>
      <w:r>
        <w:rPr>
          <w:lang w:val="nl-NL"/>
        </w:rPr>
        <w:t xml:space="preserve">De richtlijn heeft </w:t>
      </w:r>
      <w:r w:rsidRPr="00004C77">
        <w:t xml:space="preserve">‘essentiële’ </w:t>
      </w:r>
      <w:r>
        <w:t>en</w:t>
      </w:r>
      <w:r w:rsidRPr="00004C77">
        <w:t xml:space="preserve"> ‘belangrijke’</w:t>
      </w:r>
      <w:r w:rsidRPr="00004C77">
        <w:rPr>
          <w:rFonts w:eastAsiaTheme="majorEastAsia"/>
        </w:rPr>
        <w:t> </w:t>
      </w:r>
      <w:r>
        <w:t xml:space="preserve">sectoren gedefinieerd waarvoor de NIS 2 gaat gelden vanaf een bepaalde organisatiegrootte. </w:t>
      </w:r>
      <w:r w:rsidRPr="00004C77">
        <w:rPr>
          <w:lang w:val="nl-NL"/>
        </w:rPr>
        <w:t>De Gezondheidszorg valt hier onder, onderwijs en kinderopvang vooralsnog niet</w:t>
      </w:r>
      <w:r w:rsidRPr="00004C77">
        <w:rPr>
          <w:lang w:val="nl-NL"/>
        </w:rPr>
        <w:t xml:space="preserve">. </w:t>
      </w:r>
      <w:r>
        <w:rPr>
          <w:lang w:val="nl-NL"/>
        </w:rPr>
        <w:t xml:space="preserve">Er is voor </w:t>
      </w:r>
      <w:r w:rsidRPr="00004C77">
        <w:rPr>
          <w:lang w:val="nl-NL"/>
        </w:rPr>
        <w:t>Humankind</w:t>
      </w:r>
      <w:r>
        <w:rPr>
          <w:lang w:val="nl-NL"/>
        </w:rPr>
        <w:t xml:space="preserve"> dus vooralsnog geen verplichting aan de NIS 2 te voldoen.</w:t>
      </w:r>
    </w:p>
    <w:p w14:paraId="5B093DD0" w14:textId="77777777" w:rsidR="00770A5C" w:rsidRPr="00004C77" w:rsidRDefault="00770A5C" w:rsidP="00505A02">
      <w:pPr>
        <w:rPr>
          <w:lang w:val="nl-NL"/>
        </w:rPr>
      </w:pPr>
    </w:p>
    <w:p w14:paraId="0C1DE358" w14:textId="1992636E" w:rsidR="00505A02" w:rsidRDefault="00004C77" w:rsidP="00004C77">
      <w:pPr>
        <w:pStyle w:val="Heading1"/>
        <w:rPr>
          <w:lang w:val="nl-NL"/>
        </w:rPr>
      </w:pPr>
      <w:bookmarkStart w:id="2" w:name="_Toc180508516"/>
      <w:r>
        <w:rPr>
          <w:lang w:val="nl-NL"/>
        </w:rPr>
        <w:t>Verplichtingen voor organisaties onder de NIS 2</w:t>
      </w:r>
      <w:bookmarkEnd w:id="2"/>
    </w:p>
    <w:p w14:paraId="02442865" w14:textId="5EE464FD" w:rsidR="00004C77" w:rsidRDefault="00004C77" w:rsidP="00505A02">
      <w:pPr>
        <w:rPr>
          <w:lang w:val="nl-NL"/>
        </w:rPr>
      </w:pPr>
      <w:r>
        <w:rPr>
          <w:lang w:val="nl-NL"/>
        </w:rPr>
        <w:t>De NIS 2 kent aan organisaties een Zorgplicht, Meldplicht en Registratieplicht toe.</w:t>
      </w:r>
    </w:p>
    <w:p w14:paraId="40EC6FD6" w14:textId="1F512AE1" w:rsidR="00004C77" w:rsidRDefault="00004C77" w:rsidP="00505A02">
      <w:pPr>
        <w:rPr>
          <w:lang w:val="nl-NL"/>
        </w:rPr>
      </w:pPr>
      <w:r>
        <w:rPr>
          <w:lang w:val="nl-NL"/>
        </w:rPr>
        <w:t>De Registratieplicht houdt in dat organisaties waarop de richtlijn van toepassing is, zich moeten registreren in het ‘entiteitenregister’. De website van het Nationaal Cyber Security Centrum (</w:t>
      </w:r>
      <w:r w:rsidR="00063B9B">
        <w:rPr>
          <w:lang w:val="nl-NL"/>
        </w:rPr>
        <w:t xml:space="preserve">NCSC, </w:t>
      </w:r>
      <w:r>
        <w:rPr>
          <w:lang w:val="nl-NL"/>
        </w:rPr>
        <w:t xml:space="preserve">Min. van Justitie en Veiligheid) geeft hierover </w:t>
      </w:r>
      <w:hyperlink r:id="rId7" w:history="1">
        <w:r w:rsidRPr="00004C77">
          <w:rPr>
            <w:rStyle w:val="Hyperlink"/>
            <w:lang w:val="nl-NL"/>
          </w:rPr>
          <w:t>meer informatie</w:t>
        </w:r>
      </w:hyperlink>
      <w:r>
        <w:rPr>
          <w:lang w:val="nl-NL"/>
        </w:rPr>
        <w:t>.</w:t>
      </w:r>
    </w:p>
    <w:p w14:paraId="531DE22D" w14:textId="2DD8F1BD" w:rsidR="00004C77" w:rsidRDefault="00004C77" w:rsidP="00505A02">
      <w:pPr>
        <w:rPr>
          <w:lang w:val="nl-NL"/>
        </w:rPr>
      </w:pPr>
      <w:r>
        <w:rPr>
          <w:lang w:val="nl-NL"/>
        </w:rPr>
        <w:t xml:space="preserve">Op de </w:t>
      </w:r>
      <w:r>
        <w:rPr>
          <w:lang w:val="nl-NL"/>
        </w:rPr>
        <w:t>Zorgplicht</w:t>
      </w:r>
      <w:r>
        <w:rPr>
          <w:lang w:val="nl-NL"/>
        </w:rPr>
        <w:t xml:space="preserve"> en</w:t>
      </w:r>
      <w:r>
        <w:rPr>
          <w:lang w:val="nl-NL"/>
        </w:rPr>
        <w:t xml:space="preserve"> Meldplicht</w:t>
      </w:r>
      <w:r>
        <w:rPr>
          <w:lang w:val="nl-NL"/>
        </w:rPr>
        <w:t xml:space="preserve"> ga ik hieronder verder in.</w:t>
      </w:r>
    </w:p>
    <w:p w14:paraId="280D27E5" w14:textId="77777777" w:rsidR="00770A5C" w:rsidRDefault="00770A5C" w:rsidP="00505A02">
      <w:pPr>
        <w:rPr>
          <w:lang w:val="nl-NL"/>
        </w:rPr>
      </w:pPr>
    </w:p>
    <w:p w14:paraId="0E1B9276" w14:textId="742DDB7A" w:rsidR="00004C77" w:rsidRDefault="00D639FF" w:rsidP="00D639FF">
      <w:pPr>
        <w:pStyle w:val="Heading1"/>
        <w:rPr>
          <w:lang w:val="nl-NL"/>
        </w:rPr>
      </w:pPr>
      <w:bookmarkStart w:id="3" w:name="_Toc180508517"/>
      <w:r>
        <w:rPr>
          <w:lang w:val="nl-NL"/>
        </w:rPr>
        <w:t>Zorgplicht</w:t>
      </w:r>
      <w:bookmarkEnd w:id="3"/>
    </w:p>
    <w:p w14:paraId="51C5FD44" w14:textId="77777777" w:rsidR="00FD7969" w:rsidRDefault="00D639FF" w:rsidP="00D639FF">
      <w:pPr>
        <w:rPr>
          <w:lang w:val="nl-NL"/>
        </w:rPr>
      </w:pPr>
      <w:r w:rsidRPr="00004C77">
        <w:rPr>
          <w:lang w:val="nl-NL"/>
        </w:rPr>
        <w:t>Hoewel de nationale omzettingswet</w:t>
      </w:r>
      <w:r>
        <w:rPr>
          <w:lang w:val="nl-NL"/>
        </w:rPr>
        <w:t xml:space="preserve"> dus</w:t>
      </w:r>
      <w:r w:rsidRPr="00004C77">
        <w:rPr>
          <w:lang w:val="nl-NL"/>
        </w:rPr>
        <w:t xml:space="preserve"> nog niet gepubliceerd is, en nadere, sectorspecifieke regels nog gesteld kunnen worden, weten we al wel dat de zorgplicht in lijn zal zijn met bestaande kaders als de BIO (</w:t>
      </w:r>
      <w:hyperlink r:id="rId8" w:history="1">
        <w:r w:rsidRPr="00004C77">
          <w:rPr>
            <w:rStyle w:val="Hyperlink"/>
            <w:lang w:val="nl-NL"/>
          </w:rPr>
          <w:t>Baseline Informa</w:t>
        </w:r>
        <w:r w:rsidRPr="00004C77">
          <w:rPr>
            <w:rStyle w:val="Hyperlink"/>
            <w:lang w:val="nl-NL"/>
          </w:rPr>
          <w:t>t</w:t>
        </w:r>
        <w:r w:rsidRPr="00004C77">
          <w:rPr>
            <w:rStyle w:val="Hyperlink"/>
            <w:lang w:val="nl-NL"/>
          </w:rPr>
          <w:t>iebeveiliging Overheid</w:t>
        </w:r>
      </w:hyperlink>
      <w:r w:rsidRPr="00004C77">
        <w:rPr>
          <w:lang w:val="nl-NL"/>
        </w:rPr>
        <w:t>) en de ISO 27002</w:t>
      </w:r>
      <w:r>
        <w:rPr>
          <w:rStyle w:val="FootnoteReference"/>
          <w:lang w:val="nl-NL"/>
        </w:rPr>
        <w:footnoteReference w:id="1"/>
      </w:r>
      <w:r w:rsidRPr="00004C77">
        <w:rPr>
          <w:lang w:val="nl-NL"/>
        </w:rPr>
        <w:t>.</w:t>
      </w:r>
      <w:r w:rsidR="001101E0">
        <w:rPr>
          <w:lang w:val="nl-NL"/>
        </w:rPr>
        <w:t xml:space="preserve"> </w:t>
      </w:r>
    </w:p>
    <w:p w14:paraId="002AB954" w14:textId="77777777" w:rsidR="00FD7969" w:rsidRDefault="00FD7969" w:rsidP="00D639FF">
      <w:pPr>
        <w:rPr>
          <w:lang w:val="nl-NL"/>
        </w:rPr>
      </w:pPr>
    </w:p>
    <w:p w14:paraId="716C6E71" w14:textId="3391EC80" w:rsidR="00D639FF" w:rsidRDefault="001101E0" w:rsidP="00D639FF">
      <w:pPr>
        <w:rPr>
          <w:lang w:val="nl-NL"/>
        </w:rPr>
      </w:pPr>
      <w:r>
        <w:rPr>
          <w:lang w:val="nl-NL"/>
        </w:rPr>
        <w:t xml:space="preserve">Verschillende websites van de overheid geven ook informatie over wat we kunnen verwachten. </w:t>
      </w:r>
      <w:r>
        <w:rPr>
          <w:lang w:val="nl-NL"/>
        </w:rPr>
        <w:t>De website van het</w:t>
      </w:r>
      <w:r>
        <w:rPr>
          <w:lang w:val="nl-NL"/>
        </w:rPr>
        <w:t xml:space="preserve"> NCSC is m.i. de meest complete en gestructureerde hiervan.</w:t>
      </w:r>
    </w:p>
    <w:p w14:paraId="67D72241" w14:textId="77777777" w:rsidR="00FD7969" w:rsidRDefault="00FD7969" w:rsidP="00D639FF">
      <w:pPr>
        <w:rPr>
          <w:lang w:val="nl-NL"/>
        </w:rPr>
      </w:pPr>
    </w:p>
    <w:p w14:paraId="709FD4DE" w14:textId="644C5312" w:rsidR="00063B9B" w:rsidRDefault="00063B9B" w:rsidP="00D639FF">
      <w:pPr>
        <w:rPr>
          <w:lang w:val="nl-NL"/>
        </w:rPr>
      </w:pPr>
      <w:r>
        <w:rPr>
          <w:lang w:val="nl-NL"/>
        </w:rPr>
        <w:t>Vanuit de richtlijn wordt in ieder geval verwacht dat de organisatie ‘robuuste’ risicomanagement processen inricht. De richtlijn benadrukt</w:t>
      </w:r>
      <w:r w:rsidR="001101E0">
        <w:rPr>
          <w:lang w:val="nl-NL"/>
        </w:rPr>
        <w:t xml:space="preserve"> daarbij h</w:t>
      </w:r>
      <w:r>
        <w:rPr>
          <w:lang w:val="nl-NL"/>
        </w:rPr>
        <w:t xml:space="preserve">et cyclische karakter van </w:t>
      </w:r>
      <w:r w:rsidRPr="00063B9B">
        <w:rPr>
          <w:lang w:val="nl-NL"/>
        </w:rPr>
        <w:t>risicomanagement</w:t>
      </w:r>
      <w:r>
        <w:rPr>
          <w:lang w:val="nl-NL"/>
        </w:rPr>
        <w:t>, dus het steeds opnieuw doorlopen van de cyclus risico</w:t>
      </w:r>
      <w:r w:rsidR="001101E0">
        <w:rPr>
          <w:lang w:val="nl-NL"/>
        </w:rPr>
        <w:t>-</w:t>
      </w:r>
      <w:r>
        <w:rPr>
          <w:lang w:val="nl-NL"/>
        </w:rPr>
        <w:t>identificatie,</w:t>
      </w:r>
      <w:r w:rsidR="001101E0">
        <w:rPr>
          <w:lang w:val="nl-NL"/>
        </w:rPr>
        <w:t xml:space="preserve"> -analyse, treffen van maatregelen, beoordeling van de effectiviteit, aanbrengen van verbetering (een </w:t>
      </w:r>
      <w:proofErr w:type="gramStart"/>
      <w:r w:rsidR="001101E0">
        <w:rPr>
          <w:lang w:val="nl-NL"/>
        </w:rPr>
        <w:t>PDCA cyclus</w:t>
      </w:r>
      <w:proofErr w:type="gramEnd"/>
      <w:r w:rsidR="001101E0">
        <w:rPr>
          <w:lang w:val="nl-NL"/>
        </w:rPr>
        <w:t>).</w:t>
      </w:r>
    </w:p>
    <w:p w14:paraId="0A6963A4" w14:textId="77777777" w:rsidR="00FD7969" w:rsidRDefault="00FD7969" w:rsidP="00D639FF">
      <w:pPr>
        <w:rPr>
          <w:lang w:val="nl-NL"/>
        </w:rPr>
      </w:pPr>
    </w:p>
    <w:p w14:paraId="45840BE7" w14:textId="3AD1BD07" w:rsidR="00063B9B" w:rsidRDefault="001101E0" w:rsidP="001101E0">
      <w:pPr>
        <w:rPr>
          <w:lang w:val="nl-NL"/>
        </w:rPr>
      </w:pPr>
      <w:r>
        <w:rPr>
          <w:lang w:val="nl-NL"/>
        </w:rPr>
        <w:lastRenderedPageBreak/>
        <w:t xml:space="preserve">Passend </w:t>
      </w:r>
      <w:r w:rsidR="00063B9B" w:rsidRPr="00063B9B">
        <w:rPr>
          <w:lang w:val="nl-NL"/>
        </w:rPr>
        <w:t>informatiebeveiligingsbeleid</w:t>
      </w:r>
      <w:r>
        <w:rPr>
          <w:lang w:val="nl-NL"/>
        </w:rPr>
        <w:t>, en controle op en rapportage over de naleving daarvan, is ook een vereiste</w:t>
      </w:r>
      <w:r w:rsidR="00063B9B">
        <w:rPr>
          <w:lang w:val="nl-NL"/>
        </w:rPr>
        <w:t>.</w:t>
      </w:r>
      <w:r w:rsidR="00063B9B">
        <w:rPr>
          <w:lang w:val="nl-NL"/>
        </w:rPr>
        <w:tab/>
      </w:r>
    </w:p>
    <w:p w14:paraId="58D6C6CC" w14:textId="77777777" w:rsidR="00FD7969" w:rsidRDefault="00FD7969" w:rsidP="001101E0">
      <w:pPr>
        <w:rPr>
          <w:lang w:val="nl-NL"/>
        </w:rPr>
      </w:pPr>
    </w:p>
    <w:p w14:paraId="2D478B2F" w14:textId="082043D4" w:rsidR="001101E0" w:rsidRDefault="001101E0" w:rsidP="001101E0">
      <w:pPr>
        <w:rPr>
          <w:lang w:val="nl-NL"/>
        </w:rPr>
      </w:pPr>
      <w:r>
        <w:rPr>
          <w:lang w:val="nl-NL"/>
        </w:rPr>
        <w:t xml:space="preserve">De website van het NCSC vult dit verder in met een stappenplan waarvan de hoofdstappen zijn: 1) Risicoanalyse, 2) Maatregelen en 3) Incidentrespons. </w:t>
      </w:r>
    </w:p>
    <w:p w14:paraId="71E411E0" w14:textId="77777777" w:rsidR="00FD7969" w:rsidRDefault="00FD7969" w:rsidP="001101E0">
      <w:pPr>
        <w:rPr>
          <w:lang w:val="nl-NL"/>
        </w:rPr>
      </w:pPr>
    </w:p>
    <w:p w14:paraId="265328E8" w14:textId="226E81A8" w:rsidR="00063B9B" w:rsidRDefault="001101E0" w:rsidP="001101E0">
      <w:pPr>
        <w:pStyle w:val="Heading2"/>
        <w:rPr>
          <w:lang w:val="nl-NL"/>
        </w:rPr>
      </w:pPr>
      <w:bookmarkStart w:id="4" w:name="_Toc180508518"/>
      <w:r>
        <w:rPr>
          <w:lang w:val="nl-NL"/>
        </w:rPr>
        <w:t>Risicoanalyse</w:t>
      </w:r>
      <w:bookmarkEnd w:id="4"/>
    </w:p>
    <w:p w14:paraId="5E2EC141" w14:textId="51BE766F" w:rsidR="00063B9B" w:rsidRPr="00FD7969" w:rsidRDefault="001101E0" w:rsidP="00FD7969">
      <w:pPr>
        <w:pStyle w:val="ListParagraph"/>
        <w:numPr>
          <w:ilvl w:val="0"/>
          <w:numId w:val="6"/>
        </w:numPr>
        <w:rPr>
          <w:lang w:val="nl-NL"/>
        </w:rPr>
      </w:pPr>
      <w:r w:rsidRPr="00FD7969">
        <w:rPr>
          <w:lang w:val="nl-NL"/>
        </w:rPr>
        <w:t>Identificeer de processen en systemen die noodzakelijk zijn om de doelen van de organisatie te vervullen</w:t>
      </w:r>
    </w:p>
    <w:p w14:paraId="79E18212" w14:textId="7934A5F5" w:rsidR="001101E0" w:rsidRPr="00FD7969" w:rsidRDefault="001101E0" w:rsidP="00FD7969">
      <w:pPr>
        <w:pStyle w:val="ListParagraph"/>
        <w:numPr>
          <w:ilvl w:val="0"/>
          <w:numId w:val="6"/>
        </w:numPr>
        <w:rPr>
          <w:lang w:val="nl-NL"/>
        </w:rPr>
      </w:pPr>
      <w:r w:rsidRPr="00FD7969">
        <w:rPr>
          <w:lang w:val="nl-NL"/>
        </w:rPr>
        <w:t xml:space="preserve">Identificeer dreigingen voor de </w:t>
      </w:r>
      <w:r w:rsidRPr="00FD7969">
        <w:rPr>
          <w:lang w:val="nl-NL"/>
        </w:rPr>
        <w:t>Beschikbaarheid, Vertrouwelijkheid en Integriteit</w:t>
      </w:r>
      <w:r w:rsidRPr="00FD7969">
        <w:rPr>
          <w:lang w:val="nl-NL"/>
        </w:rPr>
        <w:t xml:space="preserve"> </w:t>
      </w:r>
    </w:p>
    <w:p w14:paraId="010A4448" w14:textId="01566D97" w:rsidR="001101E0" w:rsidRPr="00FD7969" w:rsidRDefault="001101E0" w:rsidP="00FD7969">
      <w:pPr>
        <w:pStyle w:val="ListParagraph"/>
        <w:numPr>
          <w:ilvl w:val="0"/>
          <w:numId w:val="6"/>
        </w:numPr>
        <w:rPr>
          <w:lang w:val="nl-NL"/>
        </w:rPr>
      </w:pPr>
      <w:r w:rsidRPr="00FD7969">
        <w:rPr>
          <w:lang w:val="nl-NL"/>
        </w:rPr>
        <w:t>Beoordeel of huidige maatregelen (technisch en organisatorisch) voldoende bescherming bieden</w:t>
      </w:r>
    </w:p>
    <w:p w14:paraId="4BA25ED5" w14:textId="164E5410" w:rsidR="001101E0" w:rsidRPr="00FD7969" w:rsidRDefault="001101E0" w:rsidP="00FD7969">
      <w:pPr>
        <w:pStyle w:val="ListParagraph"/>
        <w:numPr>
          <w:ilvl w:val="0"/>
          <w:numId w:val="6"/>
        </w:numPr>
        <w:rPr>
          <w:lang w:val="nl-NL"/>
        </w:rPr>
      </w:pPr>
      <w:r w:rsidRPr="00FD7969">
        <w:rPr>
          <w:lang w:val="nl-NL"/>
        </w:rPr>
        <w:t>Prioriteer de risico</w:t>
      </w:r>
      <w:r w:rsidR="009528CD" w:rsidRPr="00FD7969">
        <w:rPr>
          <w:lang w:val="nl-NL"/>
        </w:rPr>
        <w:t>’</w:t>
      </w:r>
      <w:r w:rsidRPr="00FD7969">
        <w:rPr>
          <w:lang w:val="nl-NL"/>
        </w:rPr>
        <w:t xml:space="preserve">s </w:t>
      </w:r>
      <w:proofErr w:type="spellStart"/>
      <w:r w:rsidR="009528CD" w:rsidRPr="00FD7969">
        <w:rPr>
          <w:lang w:val="nl-NL"/>
        </w:rPr>
        <w:t>mbv</w:t>
      </w:r>
      <w:proofErr w:type="spellEnd"/>
      <w:r w:rsidR="009528CD" w:rsidRPr="00FD7969">
        <w:rPr>
          <w:lang w:val="nl-NL"/>
        </w:rPr>
        <w:t xml:space="preserve"> een Risicomatrix (kans x impact)</w:t>
      </w:r>
    </w:p>
    <w:p w14:paraId="320183B8" w14:textId="5C156B3D" w:rsidR="009528CD" w:rsidRDefault="009528CD" w:rsidP="00FD7969">
      <w:pPr>
        <w:pStyle w:val="ListParagraph"/>
        <w:numPr>
          <w:ilvl w:val="0"/>
          <w:numId w:val="6"/>
        </w:numPr>
        <w:rPr>
          <w:lang w:val="nl-NL"/>
        </w:rPr>
      </w:pPr>
      <w:r w:rsidRPr="00FD7969">
        <w:rPr>
          <w:lang w:val="nl-NL"/>
        </w:rPr>
        <w:t>Wijs risico-eigenaren aan en bepaal hun mandaat en verantwoordelijkheden</w:t>
      </w:r>
    </w:p>
    <w:p w14:paraId="158F5AC3" w14:textId="7B72E28B" w:rsidR="009528CD" w:rsidRDefault="009528CD" w:rsidP="009528CD">
      <w:pPr>
        <w:pStyle w:val="Heading2"/>
        <w:rPr>
          <w:lang w:val="nl-NL"/>
        </w:rPr>
      </w:pPr>
      <w:bookmarkStart w:id="5" w:name="_Toc180508519"/>
      <w:r>
        <w:rPr>
          <w:lang w:val="nl-NL"/>
        </w:rPr>
        <w:t>Maatregelen</w:t>
      </w:r>
      <w:bookmarkEnd w:id="5"/>
    </w:p>
    <w:p w14:paraId="0BD65528" w14:textId="2CE56723" w:rsidR="001101E0" w:rsidRDefault="00FD7969" w:rsidP="00FD7969">
      <w:pPr>
        <w:rPr>
          <w:lang w:val="nl-NL"/>
        </w:rPr>
      </w:pPr>
      <w:r>
        <w:rPr>
          <w:lang w:val="nl-NL"/>
        </w:rPr>
        <w:t>Maatregelen moeten ‘passend’ en ‘adequaat’ zijn, op basis van de voorgaande risicoanalyse.</w:t>
      </w:r>
    </w:p>
    <w:p w14:paraId="15345E5B" w14:textId="77777777" w:rsidR="00FD7969" w:rsidRDefault="00FD7969" w:rsidP="00FD7969">
      <w:pPr>
        <w:rPr>
          <w:lang w:val="nl-NL"/>
        </w:rPr>
      </w:pPr>
    </w:p>
    <w:p w14:paraId="51FF7724" w14:textId="45CD00EA" w:rsidR="00FD7969" w:rsidRDefault="00FD7969" w:rsidP="00FD7969">
      <w:pPr>
        <w:rPr>
          <w:lang w:val="nl-NL"/>
        </w:rPr>
      </w:pPr>
      <w:r>
        <w:rPr>
          <w:lang w:val="nl-NL"/>
        </w:rPr>
        <w:t>De website van de NCSC noemt als voorbeelden van maatregelen:</w:t>
      </w:r>
    </w:p>
    <w:p w14:paraId="07143F89" w14:textId="3CEE4BAC" w:rsidR="00FD7969" w:rsidRDefault="00FD7969" w:rsidP="00FD7969">
      <w:pPr>
        <w:pStyle w:val="ListParagraph"/>
        <w:numPr>
          <w:ilvl w:val="0"/>
          <w:numId w:val="6"/>
        </w:numPr>
        <w:rPr>
          <w:lang w:val="nl-NL"/>
        </w:rPr>
      </w:pPr>
      <w:r>
        <w:rPr>
          <w:lang w:val="nl-NL"/>
        </w:rPr>
        <w:t>Beleg het eigenaarschap van informatie en risico’s</w:t>
      </w:r>
    </w:p>
    <w:p w14:paraId="6AB5C337" w14:textId="6AB31377" w:rsidR="00FD7969" w:rsidRPr="00FD7969" w:rsidRDefault="00FD7969" w:rsidP="00FD7969">
      <w:pPr>
        <w:pStyle w:val="ListParagraph"/>
        <w:numPr>
          <w:ilvl w:val="0"/>
          <w:numId w:val="6"/>
        </w:numPr>
        <w:rPr>
          <w:lang w:val="nl-NL"/>
        </w:rPr>
      </w:pPr>
      <w:r>
        <w:rPr>
          <w:lang w:val="nl-NL"/>
        </w:rPr>
        <w:t xml:space="preserve">Bevorder veilig gedrag en een cultuur waarin incidenten </w:t>
      </w:r>
      <w:r w:rsidRPr="00FD7969">
        <w:t>veilig gemeld en verwerkt kunnen worden</w:t>
      </w:r>
    </w:p>
    <w:p w14:paraId="121EC0E5" w14:textId="7DF30248" w:rsidR="00FD7969" w:rsidRPr="00770A5C" w:rsidRDefault="00FD7969" w:rsidP="00FD7969">
      <w:pPr>
        <w:pStyle w:val="ListParagraph"/>
        <w:numPr>
          <w:ilvl w:val="0"/>
          <w:numId w:val="6"/>
        </w:numPr>
        <w:rPr>
          <w:lang w:val="nl-NL"/>
        </w:rPr>
      </w:pPr>
      <w:r>
        <w:t xml:space="preserve">Veranker </w:t>
      </w:r>
      <w:r w:rsidRPr="00FD7969">
        <w:t>de risicomanagementcyclus </w:t>
      </w:r>
      <w:r>
        <w:t>in</w:t>
      </w:r>
      <w:r w:rsidR="00770A5C">
        <w:t xml:space="preserve"> </w:t>
      </w:r>
      <w:r>
        <w:t xml:space="preserve">de organisatie </w:t>
      </w:r>
      <w:r w:rsidR="00770A5C">
        <w:t xml:space="preserve">door </w:t>
      </w:r>
      <w:r w:rsidR="00770A5C" w:rsidRPr="00770A5C">
        <w:t>het juist beleggen van verantwoordelijkheden</w:t>
      </w:r>
    </w:p>
    <w:p w14:paraId="1CAE31DE" w14:textId="1F02A13F" w:rsidR="00770A5C" w:rsidRPr="00770A5C" w:rsidRDefault="00770A5C" w:rsidP="00FD7969">
      <w:pPr>
        <w:pStyle w:val="ListParagraph"/>
        <w:numPr>
          <w:ilvl w:val="0"/>
          <w:numId w:val="6"/>
        </w:numPr>
        <w:rPr>
          <w:lang w:val="nl-NL"/>
        </w:rPr>
      </w:pPr>
      <w:r>
        <w:t xml:space="preserve">Organiseer </w:t>
      </w:r>
      <w:r w:rsidRPr="00770A5C">
        <w:t>identiteits- en toegangsbeheer</w:t>
      </w:r>
      <w:r>
        <w:t>.</w:t>
      </w:r>
    </w:p>
    <w:p w14:paraId="25006D9F" w14:textId="77777777" w:rsidR="00770A5C" w:rsidRPr="00770A5C" w:rsidRDefault="00770A5C" w:rsidP="00770A5C">
      <w:pPr>
        <w:rPr>
          <w:lang w:val="nl-NL"/>
        </w:rPr>
      </w:pPr>
    </w:p>
    <w:p w14:paraId="5B770294" w14:textId="47C57B7B" w:rsidR="00770A5C" w:rsidRPr="00770A5C" w:rsidRDefault="00770A5C" w:rsidP="00770A5C">
      <w:pPr>
        <w:pStyle w:val="Heading2"/>
        <w:rPr>
          <w:lang w:val="en-US"/>
        </w:rPr>
      </w:pPr>
      <w:bookmarkStart w:id="6" w:name="_Toc180508520"/>
      <w:proofErr w:type="spellStart"/>
      <w:r w:rsidRPr="00770A5C">
        <w:rPr>
          <w:lang w:val="en-US"/>
        </w:rPr>
        <w:t>Incidentrespons</w:t>
      </w:r>
      <w:bookmarkEnd w:id="6"/>
      <w:proofErr w:type="spellEnd"/>
    </w:p>
    <w:p w14:paraId="431DAE01" w14:textId="650CD1F4" w:rsidR="00770A5C" w:rsidRDefault="00770A5C" w:rsidP="00770A5C">
      <w:pPr>
        <w:pStyle w:val="ListParagraph"/>
        <w:numPr>
          <w:ilvl w:val="0"/>
          <w:numId w:val="6"/>
        </w:numPr>
      </w:pPr>
      <w:r w:rsidRPr="00770A5C">
        <w:rPr>
          <w:lang w:val="nl-NL"/>
        </w:rPr>
        <w:t xml:space="preserve">Organisaties moeten een </w:t>
      </w:r>
      <w:r w:rsidRPr="00770A5C">
        <w:t>incident respons plan (IRP</w:t>
      </w:r>
      <w:r>
        <w:t>) opstellen over hoe te reageren in het geval van ersntige verstoringen, en daarvan te herstellen en trerug te keren naar ‘business as usual’.</w:t>
      </w:r>
    </w:p>
    <w:p w14:paraId="16D4DC39" w14:textId="0AC28A4D" w:rsidR="00FD7969" w:rsidRPr="00770A5C" w:rsidRDefault="00770A5C" w:rsidP="008F0435">
      <w:pPr>
        <w:pStyle w:val="ListParagraph"/>
        <w:numPr>
          <w:ilvl w:val="0"/>
          <w:numId w:val="6"/>
        </w:numPr>
        <w:rPr>
          <w:lang w:val="nl-NL"/>
        </w:rPr>
      </w:pPr>
      <w:r>
        <w:t xml:space="preserve">Organisaties moeten procedures ontwikkelen </w:t>
      </w:r>
      <w:r w:rsidRPr="00770A5C">
        <w:t>voor het detecteren, monitoren, oplossen en melden van incidenten. </w:t>
      </w:r>
    </w:p>
    <w:p w14:paraId="3CC8E61A" w14:textId="12CD745A" w:rsidR="00FD7969" w:rsidRDefault="00770A5C" w:rsidP="00FD7969">
      <w:pPr>
        <w:pStyle w:val="Heading2"/>
        <w:rPr>
          <w:lang w:val="en-US"/>
        </w:rPr>
      </w:pPr>
      <w:bookmarkStart w:id="7" w:name="_Toc180508521"/>
      <w:proofErr w:type="spellStart"/>
      <w:r>
        <w:rPr>
          <w:lang w:val="en-US"/>
        </w:rPr>
        <w:t>Toeleveringsketen</w:t>
      </w:r>
      <w:bookmarkEnd w:id="7"/>
      <w:proofErr w:type="spellEnd"/>
    </w:p>
    <w:p w14:paraId="57F807A2" w14:textId="5BB65AA6" w:rsidR="00770A5C" w:rsidRDefault="00770A5C" w:rsidP="00770A5C">
      <w:pPr>
        <w:rPr>
          <w:lang w:val="nl-NL"/>
        </w:rPr>
      </w:pPr>
      <w:r w:rsidRPr="00770A5C">
        <w:rPr>
          <w:lang w:val="nl-NL"/>
        </w:rPr>
        <w:t xml:space="preserve">Omdat grote delen van de informatiehuishouding uitbesteed </w:t>
      </w:r>
      <w:r w:rsidR="0028464A">
        <w:rPr>
          <w:lang w:val="nl-NL"/>
        </w:rPr>
        <w:t xml:space="preserve">worden </w:t>
      </w:r>
      <w:r w:rsidRPr="00770A5C">
        <w:rPr>
          <w:lang w:val="nl-NL"/>
        </w:rPr>
        <w:t>aan leveranciers</w:t>
      </w:r>
      <w:r>
        <w:rPr>
          <w:lang w:val="nl-NL"/>
        </w:rPr>
        <w:t xml:space="preserve"> (</w:t>
      </w:r>
      <w:proofErr w:type="gramStart"/>
      <w:r w:rsidR="0028464A">
        <w:rPr>
          <w:lang w:val="nl-NL"/>
        </w:rPr>
        <w:t>IT dienstverleners</w:t>
      </w:r>
      <w:proofErr w:type="gramEnd"/>
      <w:r w:rsidR="0028464A">
        <w:rPr>
          <w:lang w:val="nl-NL"/>
        </w:rPr>
        <w:t>, Software-as-a-Service, etc.), is de organisatie ook verantwoordelijk voor het bewaken van de veiligheid van de toeleveringsketen.</w:t>
      </w:r>
    </w:p>
    <w:p w14:paraId="5BAB05F9" w14:textId="77777777" w:rsidR="0028464A" w:rsidRDefault="0028464A" w:rsidP="00770A5C">
      <w:pPr>
        <w:rPr>
          <w:lang w:val="nl-NL"/>
        </w:rPr>
      </w:pPr>
    </w:p>
    <w:p w14:paraId="66099E55" w14:textId="721CE298" w:rsidR="0028464A" w:rsidRDefault="0028464A" w:rsidP="00770A5C">
      <w:pPr>
        <w:rPr>
          <w:lang w:val="nl-NL"/>
        </w:rPr>
      </w:pPr>
      <w:r>
        <w:rPr>
          <w:lang w:val="nl-NL"/>
        </w:rPr>
        <w:t>De richtlijn verwacht dat de volgende activiteiten aantoonbaar worden uitgevoerd:</w:t>
      </w:r>
    </w:p>
    <w:p w14:paraId="4C2E6C05" w14:textId="6FF0A09B" w:rsidR="0028464A" w:rsidRDefault="0028464A" w:rsidP="0028464A">
      <w:pPr>
        <w:pStyle w:val="ListParagraph"/>
        <w:numPr>
          <w:ilvl w:val="0"/>
          <w:numId w:val="6"/>
        </w:numPr>
        <w:rPr>
          <w:lang w:val="nl-NL"/>
        </w:rPr>
      </w:pPr>
      <w:proofErr w:type="gramStart"/>
      <w:r w:rsidRPr="0028464A">
        <w:rPr>
          <w:lang w:val="nl-NL"/>
        </w:rPr>
        <w:t>evalueren</w:t>
      </w:r>
      <w:proofErr w:type="gramEnd"/>
      <w:r w:rsidRPr="0028464A">
        <w:rPr>
          <w:lang w:val="nl-NL"/>
        </w:rPr>
        <w:t xml:space="preserve"> van de beveiligingsmaatregelen van leveranciers en de kwaliteit van hun producten en diensten</w:t>
      </w:r>
    </w:p>
    <w:p w14:paraId="3165CCAB" w14:textId="338FBC27" w:rsidR="0028464A" w:rsidRDefault="0028464A" w:rsidP="0028464A">
      <w:pPr>
        <w:pStyle w:val="ListParagraph"/>
        <w:numPr>
          <w:ilvl w:val="0"/>
          <w:numId w:val="6"/>
        </w:numPr>
        <w:rPr>
          <w:lang w:val="nl-NL"/>
        </w:rPr>
      </w:pPr>
      <w:proofErr w:type="gramStart"/>
      <w:r>
        <w:rPr>
          <w:lang w:val="nl-NL"/>
        </w:rPr>
        <w:t>opnemen</w:t>
      </w:r>
      <w:proofErr w:type="gramEnd"/>
      <w:r>
        <w:rPr>
          <w:lang w:val="nl-NL"/>
        </w:rPr>
        <w:t xml:space="preserve"> van risicomanagement-maatregelen in de contracten met leveranciers</w:t>
      </w:r>
    </w:p>
    <w:p w14:paraId="11A30A2A" w14:textId="3B467648" w:rsidR="0028464A" w:rsidRDefault="0028464A" w:rsidP="0028464A">
      <w:pPr>
        <w:pStyle w:val="ListParagraph"/>
        <w:numPr>
          <w:ilvl w:val="0"/>
          <w:numId w:val="6"/>
        </w:numPr>
        <w:rPr>
          <w:lang w:val="nl-NL"/>
        </w:rPr>
      </w:pP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leveranciers contractueel verplichten dat zij op hun beurt de veiligheid van hun leveranciers waarborgen</w:t>
      </w:r>
    </w:p>
    <w:p w14:paraId="35D059AF" w14:textId="4F88C6CE" w:rsidR="0028464A" w:rsidRPr="0028464A" w:rsidRDefault="0028464A" w:rsidP="0028464A">
      <w:pPr>
        <w:pStyle w:val="ListParagraph"/>
        <w:numPr>
          <w:ilvl w:val="0"/>
          <w:numId w:val="6"/>
        </w:numPr>
        <w:rPr>
          <w:lang w:val="nl-NL"/>
        </w:rPr>
      </w:pPr>
      <w:proofErr w:type="gramStart"/>
      <w:r>
        <w:rPr>
          <w:lang w:val="nl-NL"/>
        </w:rPr>
        <w:t>beleid</w:t>
      </w:r>
      <w:proofErr w:type="gramEnd"/>
      <w:r>
        <w:rPr>
          <w:lang w:val="nl-NL"/>
        </w:rPr>
        <w:t xml:space="preserve"> en basiseisen opstellen voor de selectie van leveranciers.</w:t>
      </w:r>
    </w:p>
    <w:p w14:paraId="53135BE8" w14:textId="77777777" w:rsidR="0028464A" w:rsidRPr="00770A5C" w:rsidRDefault="0028464A" w:rsidP="00770A5C">
      <w:pPr>
        <w:rPr>
          <w:lang w:val="nl-NL"/>
        </w:rPr>
      </w:pPr>
    </w:p>
    <w:p w14:paraId="47AC2DBB" w14:textId="61508956" w:rsidR="00770A5C" w:rsidRPr="0028464A" w:rsidRDefault="0028464A" w:rsidP="00770A5C">
      <w:pPr>
        <w:pStyle w:val="Heading1"/>
        <w:rPr>
          <w:lang w:val="en-US"/>
        </w:rPr>
      </w:pPr>
      <w:bookmarkStart w:id="8" w:name="_Toc180508522"/>
      <w:proofErr w:type="spellStart"/>
      <w:r w:rsidRPr="0028464A">
        <w:rPr>
          <w:lang w:val="en-US"/>
        </w:rPr>
        <w:lastRenderedPageBreak/>
        <w:t>Meld</w:t>
      </w:r>
      <w:r w:rsidR="00770A5C" w:rsidRPr="0028464A">
        <w:rPr>
          <w:lang w:val="en-US"/>
        </w:rPr>
        <w:t>plicht</w:t>
      </w:r>
      <w:bookmarkEnd w:id="8"/>
      <w:proofErr w:type="spellEnd"/>
    </w:p>
    <w:p w14:paraId="2D7048F8" w14:textId="3E500042" w:rsidR="00770A5C" w:rsidRPr="00476451" w:rsidRDefault="00476451" w:rsidP="004779B7">
      <w:pPr>
        <w:rPr>
          <w:lang w:val="nl-NL"/>
        </w:rPr>
      </w:pPr>
      <w:r w:rsidRPr="00476451">
        <w:rPr>
          <w:lang w:val="nl-NL"/>
        </w:rPr>
        <w:t>De richtlijn schrijft voor dat NIS2-organisaties significante incidenten moeten melden bij het Computer Security Incident Response Team (CSIRT) en de toezichthouder</w:t>
      </w:r>
      <w:r>
        <w:rPr>
          <w:lang w:val="nl-NL"/>
        </w:rPr>
        <w:t xml:space="preserve"> (NSCS)</w:t>
      </w:r>
      <w:r w:rsidRPr="00476451">
        <w:rPr>
          <w:lang w:val="nl-NL"/>
        </w:rPr>
        <w:t>.</w:t>
      </w:r>
      <w:r>
        <w:rPr>
          <w:lang w:val="nl-NL"/>
        </w:rPr>
        <w:t xml:space="preserve"> Significant zijn </w:t>
      </w:r>
      <w:r w:rsidRPr="00476451">
        <w:rPr>
          <w:lang w:val="nl-NL"/>
        </w:rPr>
        <w:t>incidenten die een ernstige operationele verstoring van de diensten of financiële verliezen voor de organisatie (kunnen) veroorzaken</w:t>
      </w:r>
      <w:r>
        <w:rPr>
          <w:lang w:val="nl-NL"/>
        </w:rPr>
        <w:t xml:space="preserve">, of </w:t>
      </w:r>
      <w:r w:rsidRPr="00476451">
        <w:rPr>
          <w:lang w:val="nl-NL"/>
        </w:rPr>
        <w:t>(kunnen) leiden tot aanzienlijke materiële of immateriële schade bij andere organisaties.</w:t>
      </w:r>
      <w:r>
        <w:rPr>
          <w:lang w:val="nl-NL"/>
        </w:rPr>
        <w:t xml:space="preserve"> </w:t>
      </w:r>
      <w:r w:rsidRPr="00476451">
        <w:rPr>
          <w:lang w:val="nl-NL"/>
        </w:rPr>
        <w:t>De exacte d</w:t>
      </w:r>
      <w:r>
        <w:rPr>
          <w:lang w:val="nl-NL"/>
        </w:rPr>
        <w:t>rempel</w:t>
      </w:r>
      <w:r w:rsidRPr="00476451">
        <w:rPr>
          <w:lang w:val="nl-NL"/>
        </w:rPr>
        <w:t>waarden worden nog uitgewerkt.</w:t>
      </w:r>
    </w:p>
    <w:p w14:paraId="115127B1" w14:textId="13E403BE" w:rsidR="00D639FF" w:rsidRPr="00476451" w:rsidRDefault="00063B9B" w:rsidP="001101E0">
      <w:pPr>
        <w:pStyle w:val="Heading1"/>
        <w:rPr>
          <w:lang w:val="nl-NL"/>
        </w:rPr>
      </w:pPr>
      <w:bookmarkStart w:id="9" w:name="_Toc180508523"/>
      <w:r w:rsidRPr="00476451">
        <w:rPr>
          <w:lang w:val="nl-NL"/>
        </w:rPr>
        <w:t>Verantwoordelijkheid bestuur</w:t>
      </w:r>
      <w:bookmarkEnd w:id="9"/>
    </w:p>
    <w:p w14:paraId="0F15CA90" w14:textId="0E4C1511" w:rsidR="004779B7" w:rsidRDefault="0028464A" w:rsidP="0028464A">
      <w:pPr>
        <w:rPr>
          <w:lang w:val="nl-NL"/>
        </w:rPr>
      </w:pPr>
      <w:r w:rsidRPr="004779B7">
        <w:rPr>
          <w:lang w:val="nl-NL"/>
        </w:rPr>
        <w:t>De NIS 2 benadrukt de verantwoordelijkheid en aansprakelijkheid van</w:t>
      </w:r>
      <w:r w:rsidRPr="004779B7">
        <w:rPr>
          <w:lang w:val="nl-NL"/>
        </w:rPr>
        <w:t xml:space="preserve"> het bestuur van de organisatie in het </w:t>
      </w:r>
      <w:r w:rsidR="004779B7">
        <w:rPr>
          <w:lang w:val="nl-NL"/>
        </w:rPr>
        <w:t xml:space="preserve">borgen van </w:t>
      </w:r>
      <w:r w:rsidR="004779B7" w:rsidRPr="004779B7">
        <w:rPr>
          <w:lang w:val="nl-NL"/>
        </w:rPr>
        <w:t>informatiebeveiliging</w:t>
      </w:r>
      <w:r w:rsidR="004779B7">
        <w:rPr>
          <w:lang w:val="nl-NL"/>
        </w:rPr>
        <w:t>. Hieronder vallen:</w:t>
      </w:r>
    </w:p>
    <w:p w14:paraId="41E8881E" w14:textId="1EE1C250" w:rsidR="004779B7" w:rsidRDefault="004779B7" w:rsidP="004779B7">
      <w:pPr>
        <w:pStyle w:val="ListParagraph"/>
        <w:numPr>
          <w:ilvl w:val="0"/>
          <w:numId w:val="6"/>
        </w:numPr>
        <w:rPr>
          <w:lang w:val="nl-NL"/>
        </w:rPr>
      </w:pP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goedkeuren van maatregelen</w:t>
      </w:r>
    </w:p>
    <w:p w14:paraId="316A9A1D" w14:textId="277075D6" w:rsidR="004779B7" w:rsidRDefault="004779B7" w:rsidP="004779B7">
      <w:pPr>
        <w:pStyle w:val="ListParagraph"/>
        <w:numPr>
          <w:ilvl w:val="0"/>
          <w:numId w:val="6"/>
        </w:numPr>
        <w:rPr>
          <w:lang w:val="nl-NL"/>
        </w:rPr>
      </w:pPr>
      <w:proofErr w:type="gramStart"/>
      <w:r>
        <w:rPr>
          <w:lang w:val="nl-NL"/>
        </w:rPr>
        <w:t>zorgdragen</w:t>
      </w:r>
      <w:proofErr w:type="gramEnd"/>
      <w:r>
        <w:rPr>
          <w:lang w:val="nl-NL"/>
        </w:rPr>
        <w:t xml:space="preserve"> voor de effectieve implementatie van maatregelen</w:t>
      </w:r>
    </w:p>
    <w:p w14:paraId="47783903" w14:textId="2C273136" w:rsidR="004779B7" w:rsidRDefault="004779B7" w:rsidP="004779B7">
      <w:pPr>
        <w:pStyle w:val="ListParagraph"/>
        <w:numPr>
          <w:ilvl w:val="0"/>
          <w:numId w:val="6"/>
        </w:numPr>
        <w:rPr>
          <w:lang w:val="nl-NL"/>
        </w:rPr>
      </w:pP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bewaken van de uitvoering van deze maatregelen</w:t>
      </w:r>
    </w:p>
    <w:p w14:paraId="5B6B1BD0" w14:textId="48D7EF1B" w:rsidR="004779B7" w:rsidRPr="004779B7" w:rsidRDefault="004779B7" w:rsidP="004779B7">
      <w:pPr>
        <w:pStyle w:val="ListParagraph"/>
        <w:numPr>
          <w:ilvl w:val="0"/>
          <w:numId w:val="6"/>
        </w:numPr>
        <w:rPr>
          <w:lang w:val="nl-NL"/>
        </w:rPr>
      </w:pPr>
      <w:proofErr w:type="gramStart"/>
      <w:r>
        <w:rPr>
          <w:lang w:val="nl-NL"/>
        </w:rPr>
        <w:t>leiderschap</w:t>
      </w:r>
      <w:proofErr w:type="gramEnd"/>
      <w:r>
        <w:rPr>
          <w:lang w:val="nl-NL"/>
        </w:rPr>
        <w:t xml:space="preserve"> tonen t.a.v. initiatieven op het gebied van </w:t>
      </w:r>
      <w:r w:rsidRPr="004779B7">
        <w:rPr>
          <w:lang w:val="nl-NL"/>
        </w:rPr>
        <w:t>informatiebeveiliging</w:t>
      </w:r>
    </w:p>
    <w:p w14:paraId="30556858" w14:textId="77777777" w:rsidR="004779B7" w:rsidRDefault="004779B7" w:rsidP="0028464A">
      <w:pPr>
        <w:rPr>
          <w:lang w:val="nl-NL"/>
        </w:rPr>
      </w:pPr>
    </w:p>
    <w:p w14:paraId="6B06C433" w14:textId="378BCECB" w:rsidR="004779B7" w:rsidRDefault="004779B7" w:rsidP="0028464A">
      <w:pPr>
        <w:rPr>
          <w:lang w:val="nl-NL"/>
        </w:rPr>
      </w:pPr>
      <w:r w:rsidRPr="004779B7">
        <w:rPr>
          <w:lang w:val="nl-NL"/>
        </w:rPr>
        <w:t xml:space="preserve">Het bestuur kan </w:t>
      </w:r>
      <w:r>
        <w:rPr>
          <w:lang w:val="nl-NL"/>
        </w:rPr>
        <w:t xml:space="preserve">wel de </w:t>
      </w:r>
      <w:r w:rsidRPr="004779B7">
        <w:rPr>
          <w:lang w:val="nl-NL"/>
        </w:rPr>
        <w:t xml:space="preserve">verantwoordelijkheden op dit vlak </w:t>
      </w:r>
      <w:r>
        <w:rPr>
          <w:lang w:val="nl-NL"/>
        </w:rPr>
        <w:t>delegeren, maar niet de aansprakelijkheid – in uiterste gevallen kunnen bestuurders persoonlijk aansprakelijk worden gesteld voor het verzaken van hun plichten.</w:t>
      </w:r>
    </w:p>
    <w:p w14:paraId="56ECF95A" w14:textId="77777777" w:rsidR="0028464A" w:rsidRDefault="0028464A" w:rsidP="0028464A"/>
    <w:p w14:paraId="2D8F994C" w14:textId="0645D201" w:rsidR="004779B7" w:rsidRDefault="004779B7" w:rsidP="004779B7">
      <w:pPr>
        <w:rPr>
          <w:lang w:val="nl-NL"/>
        </w:rPr>
      </w:pPr>
      <w:r>
        <w:t xml:space="preserve">Het management van een organisatie is verplicht zich te laten trainen op het gebied van  </w:t>
      </w:r>
      <w:r w:rsidRPr="004779B7">
        <w:t>risicomanagement</w:t>
      </w:r>
      <w:r>
        <w:t xml:space="preserve"> en de impact van cybersecurity risico’s op </w:t>
      </w:r>
      <w:r w:rsidRPr="00505A02">
        <w:rPr>
          <w:lang w:val="nl-NL"/>
        </w:rPr>
        <w:t>dienstverlening en bescherming van informatie</w:t>
      </w:r>
      <w:r>
        <w:rPr>
          <w:lang w:val="nl-NL"/>
        </w:rPr>
        <w:t>.</w:t>
      </w:r>
    </w:p>
    <w:p w14:paraId="4C2027C8" w14:textId="78F8D238" w:rsidR="004779B7" w:rsidRDefault="004779B7" w:rsidP="0028464A">
      <w:pPr>
        <w:rPr>
          <w:lang w:val="nl-NL"/>
        </w:rPr>
      </w:pPr>
    </w:p>
    <w:p w14:paraId="7EFDB45C" w14:textId="0B30D5C0" w:rsidR="004779B7" w:rsidRDefault="004779B7" w:rsidP="0028464A">
      <w:pPr>
        <w:rPr>
          <w:lang w:val="nl-NL"/>
        </w:rPr>
      </w:pPr>
      <w:r>
        <w:rPr>
          <w:lang w:val="nl-NL"/>
        </w:rPr>
        <w:t xml:space="preserve">Daarnaast moet het management zorgen voor regelmatige training van de werknemers op dit gebied. Hiermee erkent de richtlijn dat </w:t>
      </w:r>
      <w:r w:rsidRPr="004779B7">
        <w:rPr>
          <w:lang w:val="nl-NL"/>
        </w:rPr>
        <w:t>informatieveiligheid</w:t>
      </w:r>
      <w:r>
        <w:rPr>
          <w:lang w:val="nl-NL"/>
        </w:rPr>
        <w:t xml:space="preserve"> collectieve inzet vergt van alle werknemers.</w:t>
      </w:r>
    </w:p>
    <w:p w14:paraId="61058824" w14:textId="77777777" w:rsidR="004779B7" w:rsidRDefault="004779B7" w:rsidP="0028464A">
      <w:pPr>
        <w:rPr>
          <w:lang w:val="nl-NL"/>
        </w:rPr>
      </w:pPr>
    </w:p>
    <w:p w14:paraId="65B15F4C" w14:textId="77777777" w:rsidR="00A902E4" w:rsidRDefault="00A902E4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nl-NL"/>
        </w:rPr>
      </w:pPr>
      <w:r>
        <w:rPr>
          <w:lang w:val="nl-NL"/>
        </w:rPr>
        <w:br w:type="page"/>
      </w:r>
    </w:p>
    <w:p w14:paraId="6159D051" w14:textId="06EA4DA5" w:rsidR="004779B7" w:rsidRDefault="00476451" w:rsidP="00476451">
      <w:pPr>
        <w:pStyle w:val="Heading1"/>
        <w:rPr>
          <w:lang w:val="nl-NL"/>
        </w:rPr>
      </w:pPr>
      <w:bookmarkStart w:id="10" w:name="_Toc180508524"/>
      <w:r>
        <w:rPr>
          <w:lang w:val="nl-NL"/>
        </w:rPr>
        <w:lastRenderedPageBreak/>
        <w:t>Verhouding van deze verplichtingen tot het Project I</w:t>
      </w:r>
      <w:r w:rsidRPr="00476451">
        <w:rPr>
          <w:lang w:val="nl-NL"/>
        </w:rPr>
        <w:t>nformatiebeveiliging</w:t>
      </w:r>
      <w:bookmarkEnd w:id="10"/>
    </w:p>
    <w:p w14:paraId="629715C3" w14:textId="22AFC68F" w:rsidR="00476451" w:rsidRDefault="00476451" w:rsidP="0028464A">
      <w:pPr>
        <w:rPr>
          <w:lang w:val="nl-NL"/>
        </w:rPr>
      </w:pPr>
      <w:r>
        <w:rPr>
          <w:lang w:val="nl-NL"/>
        </w:rPr>
        <w:t xml:space="preserve">Omdat ISO </w:t>
      </w:r>
      <w:proofErr w:type="gramStart"/>
      <w:r>
        <w:rPr>
          <w:lang w:val="nl-NL"/>
        </w:rPr>
        <w:t>27001 /</w:t>
      </w:r>
      <w:proofErr w:type="gramEnd"/>
      <w:r>
        <w:rPr>
          <w:lang w:val="nl-NL"/>
        </w:rPr>
        <w:t xml:space="preserve"> 27002 binnen ons project als richtlijn wordt gebruikt, komen vrijwel alle verplichten uit de NIS 2 aan de orde. De kwaliteit van de uitvoering hiervan</w:t>
      </w:r>
      <w:r w:rsidR="00A902E4">
        <w:rPr>
          <w:lang w:val="nl-NL"/>
        </w:rPr>
        <w:t xml:space="preserve"> binnen de organisatie</w:t>
      </w:r>
      <w:r>
        <w:rPr>
          <w:lang w:val="nl-NL"/>
        </w:rPr>
        <w:t xml:space="preserve"> is natuurlijk bepalend.</w:t>
      </w:r>
    </w:p>
    <w:p w14:paraId="47C99E85" w14:textId="77777777" w:rsidR="00A902E4" w:rsidRDefault="00A902E4" w:rsidP="0028464A">
      <w:pPr>
        <w:rPr>
          <w:lang w:val="nl-NL"/>
        </w:rPr>
      </w:pPr>
    </w:p>
    <w:p w14:paraId="6EAF6E68" w14:textId="3872E8FA" w:rsidR="00A902E4" w:rsidRDefault="00A902E4" w:rsidP="0028464A">
      <w:pPr>
        <w:rPr>
          <w:lang w:val="nl-NL"/>
        </w:rPr>
      </w:pPr>
      <w:r>
        <w:rPr>
          <w:lang w:val="nl-NL"/>
        </w:rPr>
        <w:t>In onderstaande tabel worden de verplichtingen uit de richtlijn afgezet tegen de producten uit de aanbieding voor dit project.</w:t>
      </w:r>
    </w:p>
    <w:p w14:paraId="35430C41" w14:textId="77777777" w:rsidR="00A902E4" w:rsidRDefault="00A902E4" w:rsidP="0028464A">
      <w:pPr>
        <w:rPr>
          <w:lang w:val="nl-NL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02E4" w14:paraId="1F87106E" w14:textId="77777777" w:rsidTr="00112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0A1D4D4" w14:textId="77777777" w:rsidR="00A902E4" w:rsidRDefault="00A902E4" w:rsidP="00112913">
            <w:pPr>
              <w:rPr>
                <w:lang w:val="nl-NL"/>
              </w:rPr>
            </w:pPr>
            <w:r>
              <w:rPr>
                <w:lang w:val="nl-NL"/>
              </w:rPr>
              <w:t>Verplichting NIS 2</w:t>
            </w:r>
          </w:p>
        </w:tc>
        <w:tc>
          <w:tcPr>
            <w:tcW w:w="4508" w:type="dxa"/>
          </w:tcPr>
          <w:p w14:paraId="3B6EAA46" w14:textId="77777777" w:rsidR="00A902E4" w:rsidRDefault="00A902E4" w:rsidP="001129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Product uit de Aanbieding van dit project</w:t>
            </w:r>
          </w:p>
        </w:tc>
      </w:tr>
      <w:tr w:rsidR="00A902E4" w14:paraId="0A40AA06" w14:textId="77777777" w:rsidTr="0011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B8E0D00" w14:textId="77777777" w:rsidR="00A902E4" w:rsidRDefault="00A902E4" w:rsidP="00112913">
            <w:pPr>
              <w:rPr>
                <w:lang w:val="nl-NL"/>
              </w:rPr>
            </w:pPr>
            <w:r>
              <w:rPr>
                <w:lang w:val="nl-NL"/>
              </w:rPr>
              <w:t xml:space="preserve">Cyclisch </w:t>
            </w:r>
            <w:r w:rsidRPr="00121EA3">
              <w:rPr>
                <w:lang w:val="nl-NL"/>
              </w:rPr>
              <w:t>risicomanagement</w:t>
            </w:r>
          </w:p>
        </w:tc>
        <w:tc>
          <w:tcPr>
            <w:tcW w:w="4508" w:type="dxa"/>
          </w:tcPr>
          <w:p w14:paraId="783B8BD0" w14:textId="77777777" w:rsidR="00A902E4" w:rsidRDefault="00A902E4" w:rsidP="0011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III. Risicomanagement</w:t>
            </w:r>
          </w:p>
          <w:p w14:paraId="339585F4" w14:textId="6B760033" w:rsidR="00A902E4" w:rsidRPr="00A902E4" w:rsidRDefault="00A902E4" w:rsidP="0011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nl-NL"/>
              </w:rPr>
              <w:t xml:space="preserve">IV. Implementatie </w:t>
            </w:r>
            <w:r w:rsidRPr="00A902E4">
              <w:t>PDCA cyclus met de Canvas Methode</w:t>
            </w:r>
          </w:p>
        </w:tc>
      </w:tr>
      <w:tr w:rsidR="00A902E4" w14:paraId="65D4FDC2" w14:textId="77777777" w:rsidTr="0011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DC76D7C" w14:textId="77777777" w:rsidR="00A902E4" w:rsidRDefault="00A902E4" w:rsidP="00112913">
            <w:pPr>
              <w:rPr>
                <w:lang w:val="nl-NL"/>
              </w:rPr>
            </w:pPr>
            <w:r>
              <w:rPr>
                <w:lang w:val="nl-NL"/>
              </w:rPr>
              <w:t>I</w:t>
            </w:r>
            <w:r w:rsidRPr="00063B9B">
              <w:rPr>
                <w:lang w:val="nl-NL"/>
              </w:rPr>
              <w:t>nformatiebeveiligingsbeleid</w:t>
            </w:r>
          </w:p>
        </w:tc>
        <w:tc>
          <w:tcPr>
            <w:tcW w:w="4508" w:type="dxa"/>
          </w:tcPr>
          <w:p w14:paraId="3E4302E3" w14:textId="77777777" w:rsidR="00A902E4" w:rsidRDefault="00A902E4" w:rsidP="0011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I. Leidende principes en doelen vaststellen</w:t>
            </w:r>
          </w:p>
          <w:p w14:paraId="16C02EED" w14:textId="67F7617B" w:rsidR="00A902E4" w:rsidRDefault="00A902E4" w:rsidP="0011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II. Beleid op hoofdlijnen</w:t>
            </w:r>
          </w:p>
        </w:tc>
      </w:tr>
      <w:tr w:rsidR="00A902E4" w14:paraId="297D6345" w14:textId="77777777" w:rsidTr="0011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717D624" w14:textId="77777777" w:rsidR="00A902E4" w:rsidRDefault="00A902E4" w:rsidP="00112913">
            <w:pPr>
              <w:rPr>
                <w:lang w:val="nl-NL"/>
              </w:rPr>
            </w:pPr>
            <w:r>
              <w:rPr>
                <w:lang w:val="nl-NL"/>
              </w:rPr>
              <w:t>Risicoanalyse</w:t>
            </w:r>
          </w:p>
        </w:tc>
        <w:tc>
          <w:tcPr>
            <w:tcW w:w="4508" w:type="dxa"/>
          </w:tcPr>
          <w:p w14:paraId="287EF4AD" w14:textId="77777777" w:rsidR="00A902E4" w:rsidRDefault="00A902E4" w:rsidP="0011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A902E4" w14:paraId="0986CCF8" w14:textId="77777777" w:rsidTr="0011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A56206A" w14:textId="77777777" w:rsidR="00A902E4" w:rsidRDefault="00A902E4" w:rsidP="00112913">
            <w:pPr>
              <w:ind w:left="720"/>
              <w:rPr>
                <w:lang w:val="nl-NL"/>
              </w:rPr>
            </w:pPr>
            <w:r>
              <w:rPr>
                <w:lang w:val="nl-NL"/>
              </w:rPr>
              <w:t>Identificeren van kritieke processen en systemen</w:t>
            </w:r>
          </w:p>
        </w:tc>
        <w:tc>
          <w:tcPr>
            <w:tcW w:w="4508" w:type="dxa"/>
          </w:tcPr>
          <w:p w14:paraId="1C90204B" w14:textId="0D484C43" w:rsidR="00A902E4" w:rsidRPr="00A902E4" w:rsidRDefault="00A902E4" w:rsidP="00A9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nl-NL"/>
              </w:rPr>
              <w:t xml:space="preserve">I. </w:t>
            </w:r>
            <w:r w:rsidRPr="00A902E4">
              <w:t>Calamiteitenplan</w:t>
            </w:r>
            <w:r>
              <w:t xml:space="preserve"> (onderdeel van …)</w:t>
            </w:r>
          </w:p>
          <w:p w14:paraId="65264DE2" w14:textId="60339644" w:rsidR="00A902E4" w:rsidRDefault="00A902E4" w:rsidP="0011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A902E4" w14:paraId="342B2425" w14:textId="77777777" w:rsidTr="0011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371EEDC" w14:textId="77777777" w:rsidR="00A902E4" w:rsidRDefault="00A902E4" w:rsidP="00A902E4">
            <w:pPr>
              <w:ind w:left="720"/>
              <w:rPr>
                <w:lang w:val="nl-NL"/>
              </w:rPr>
            </w:pPr>
            <w:r>
              <w:rPr>
                <w:lang w:val="nl-NL"/>
              </w:rPr>
              <w:t xml:space="preserve">Identificeren </w:t>
            </w:r>
            <w:r w:rsidRPr="00FD7969">
              <w:rPr>
                <w:lang w:val="nl-NL"/>
              </w:rPr>
              <w:t>dreigingen voor de Beschikbaarheid, Vertrouwelijkheid en Integriteit</w:t>
            </w:r>
          </w:p>
        </w:tc>
        <w:tc>
          <w:tcPr>
            <w:tcW w:w="4508" w:type="dxa"/>
          </w:tcPr>
          <w:p w14:paraId="1D6B359D" w14:textId="77777777" w:rsidR="00A902E4" w:rsidRPr="00A902E4" w:rsidRDefault="00A902E4" w:rsidP="00A9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nl-NL"/>
              </w:rPr>
              <w:t xml:space="preserve">I. </w:t>
            </w:r>
            <w:r w:rsidRPr="00A902E4">
              <w:t>Calamiteitenplan</w:t>
            </w:r>
            <w:r>
              <w:t xml:space="preserve"> (onderdeel van …)</w:t>
            </w:r>
          </w:p>
          <w:p w14:paraId="14E51A35" w14:textId="77777777" w:rsidR="00A902E4" w:rsidRDefault="00A902E4" w:rsidP="00A9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A902E4" w:rsidRPr="00A902E4" w14:paraId="5343D98C" w14:textId="77777777" w:rsidTr="0011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6165E74" w14:textId="77777777" w:rsidR="00A902E4" w:rsidRDefault="00A902E4" w:rsidP="00A902E4">
            <w:pPr>
              <w:ind w:left="720"/>
              <w:rPr>
                <w:lang w:val="nl-NL"/>
              </w:rPr>
            </w:pPr>
            <w:r>
              <w:rPr>
                <w:lang w:val="nl-NL"/>
              </w:rPr>
              <w:t>Beoordelen adequaatheid van maatregelen</w:t>
            </w:r>
          </w:p>
        </w:tc>
        <w:tc>
          <w:tcPr>
            <w:tcW w:w="4508" w:type="dxa"/>
          </w:tcPr>
          <w:p w14:paraId="55E28FE2" w14:textId="77777777" w:rsidR="00A902E4" w:rsidRDefault="00A902E4" w:rsidP="00A9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II. </w:t>
            </w:r>
            <w:proofErr w:type="gramStart"/>
            <w:r>
              <w:rPr>
                <w:lang w:val="nl-NL"/>
              </w:rPr>
              <w:t>Risico analyse</w:t>
            </w:r>
            <w:proofErr w:type="gramEnd"/>
          </w:p>
          <w:p w14:paraId="53327F20" w14:textId="3188683D" w:rsidR="00A902E4" w:rsidRPr="00A902E4" w:rsidRDefault="00A902E4" w:rsidP="00A9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902E4">
              <w:rPr>
                <w:lang w:val="en-US"/>
              </w:rPr>
              <w:t xml:space="preserve">II. Fit/gap </w:t>
            </w:r>
            <w:proofErr w:type="spellStart"/>
            <w:r w:rsidRPr="00A902E4">
              <w:rPr>
                <w:lang w:val="en-US"/>
              </w:rPr>
              <w:t>analyse</w:t>
            </w:r>
            <w:proofErr w:type="spellEnd"/>
            <w:r w:rsidRPr="00A902E4">
              <w:rPr>
                <w:lang w:val="en-US"/>
              </w:rPr>
              <w:t xml:space="preserve"> </w:t>
            </w:r>
            <w:proofErr w:type="spellStart"/>
            <w:r w:rsidRPr="00A902E4">
              <w:rPr>
                <w:lang w:val="en-US"/>
              </w:rPr>
              <w:t>t</w:t>
            </w:r>
            <w:r>
              <w:rPr>
                <w:lang w:val="en-US"/>
              </w:rPr>
              <w:t>.o.v</w:t>
            </w:r>
            <w:proofErr w:type="spellEnd"/>
            <w:r>
              <w:rPr>
                <w:lang w:val="en-US"/>
              </w:rPr>
              <w:t>. framework</w:t>
            </w:r>
          </w:p>
        </w:tc>
      </w:tr>
      <w:tr w:rsidR="00A902E4" w:rsidRPr="00A902E4" w14:paraId="29298C3B" w14:textId="77777777" w:rsidTr="0011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CFDB16A" w14:textId="77777777" w:rsidR="00A902E4" w:rsidRDefault="00A902E4" w:rsidP="00A902E4">
            <w:pPr>
              <w:ind w:left="720"/>
              <w:rPr>
                <w:lang w:val="nl-NL"/>
              </w:rPr>
            </w:pPr>
            <w:r>
              <w:rPr>
                <w:lang w:val="nl-NL"/>
              </w:rPr>
              <w:t>Prioritering risico’s</w:t>
            </w:r>
          </w:p>
        </w:tc>
        <w:tc>
          <w:tcPr>
            <w:tcW w:w="4508" w:type="dxa"/>
          </w:tcPr>
          <w:p w14:paraId="5B8C1C61" w14:textId="4E169AD7" w:rsidR="00A902E4" w:rsidRPr="00A902E4" w:rsidRDefault="00A902E4" w:rsidP="00A9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902E4">
              <w:rPr>
                <w:lang w:val="en-US"/>
              </w:rPr>
              <w:t xml:space="preserve">II. Risico </w:t>
            </w:r>
            <w:proofErr w:type="spellStart"/>
            <w:r w:rsidRPr="00A902E4">
              <w:rPr>
                <w:lang w:val="en-US"/>
              </w:rPr>
              <w:t>analyse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A902E4" w14:paraId="7BECBF48" w14:textId="77777777" w:rsidTr="0011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9F588DA" w14:textId="77777777" w:rsidR="00A902E4" w:rsidRDefault="00A902E4" w:rsidP="00A902E4">
            <w:pPr>
              <w:ind w:left="720"/>
              <w:rPr>
                <w:lang w:val="nl-NL"/>
              </w:rPr>
            </w:pPr>
            <w:r>
              <w:rPr>
                <w:lang w:val="nl-NL"/>
              </w:rPr>
              <w:t>Bepalen risico-eigenaren</w:t>
            </w:r>
          </w:p>
        </w:tc>
        <w:tc>
          <w:tcPr>
            <w:tcW w:w="4508" w:type="dxa"/>
          </w:tcPr>
          <w:p w14:paraId="1B8FEFBC" w14:textId="6DC7A6F9" w:rsidR="00A902E4" w:rsidRDefault="00A902E4" w:rsidP="00A9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II. Besturingsmodel</w:t>
            </w:r>
          </w:p>
        </w:tc>
      </w:tr>
      <w:tr w:rsidR="00A902E4" w14:paraId="75749B32" w14:textId="77777777" w:rsidTr="0011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4733201" w14:textId="77777777" w:rsidR="00A902E4" w:rsidRDefault="00A902E4" w:rsidP="00A902E4">
            <w:pPr>
              <w:rPr>
                <w:lang w:val="nl-NL"/>
              </w:rPr>
            </w:pPr>
            <w:r>
              <w:rPr>
                <w:lang w:val="nl-NL"/>
              </w:rPr>
              <w:t>Maatregelen</w:t>
            </w:r>
          </w:p>
        </w:tc>
        <w:tc>
          <w:tcPr>
            <w:tcW w:w="4508" w:type="dxa"/>
          </w:tcPr>
          <w:p w14:paraId="12522C27" w14:textId="77777777" w:rsidR="00A902E4" w:rsidRDefault="00A902E4" w:rsidP="00A9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A902E4" w14:paraId="113C6E9E" w14:textId="77777777" w:rsidTr="0011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572D4DD" w14:textId="77777777" w:rsidR="00A902E4" w:rsidRDefault="00A902E4" w:rsidP="00A902E4">
            <w:pPr>
              <w:ind w:left="720"/>
              <w:rPr>
                <w:lang w:val="nl-NL"/>
              </w:rPr>
            </w:pPr>
            <w:r>
              <w:rPr>
                <w:lang w:val="nl-NL"/>
              </w:rPr>
              <w:t>Bepalen informatie-eigenaren</w:t>
            </w:r>
          </w:p>
        </w:tc>
        <w:tc>
          <w:tcPr>
            <w:tcW w:w="4508" w:type="dxa"/>
          </w:tcPr>
          <w:p w14:paraId="715CD3F6" w14:textId="4921F2F5" w:rsidR="00A902E4" w:rsidRDefault="00A902E4" w:rsidP="00A9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Onderdeel van </w:t>
            </w:r>
            <w:proofErr w:type="spellStart"/>
            <w:r>
              <w:rPr>
                <w:lang w:val="nl-NL"/>
              </w:rPr>
              <w:t>OrgFit</w:t>
            </w:r>
            <w:proofErr w:type="spellEnd"/>
            <w:r>
              <w:rPr>
                <w:lang w:val="nl-NL"/>
              </w:rPr>
              <w:t xml:space="preserve"> programma</w:t>
            </w:r>
          </w:p>
        </w:tc>
      </w:tr>
      <w:tr w:rsidR="00A902E4" w14:paraId="49EC170A" w14:textId="77777777" w:rsidTr="0011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66C6C9A" w14:textId="77777777" w:rsidR="00A902E4" w:rsidRDefault="00A902E4" w:rsidP="00A902E4">
            <w:pPr>
              <w:ind w:left="720"/>
              <w:rPr>
                <w:lang w:val="nl-NL"/>
              </w:rPr>
            </w:pPr>
            <w:r>
              <w:rPr>
                <w:lang w:val="nl-NL"/>
              </w:rPr>
              <w:t>Bevorder veilig gedrag en een cultuur</w:t>
            </w:r>
          </w:p>
        </w:tc>
        <w:tc>
          <w:tcPr>
            <w:tcW w:w="4508" w:type="dxa"/>
          </w:tcPr>
          <w:p w14:paraId="782D5CA2" w14:textId="23C107E7" w:rsidR="00A902E4" w:rsidRPr="007A2691" w:rsidRDefault="00A902E4" w:rsidP="00A9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nl-NL"/>
              </w:rPr>
            </w:pPr>
            <w:r w:rsidRPr="007A2691">
              <w:rPr>
                <w:i/>
                <w:iCs/>
                <w:lang w:val="nl-NL"/>
              </w:rPr>
              <w:t>Management moet voorwaarden scheppen;</w:t>
            </w:r>
          </w:p>
          <w:p w14:paraId="188F3B8C" w14:textId="7F47A796" w:rsidR="00A902E4" w:rsidRDefault="00A902E4" w:rsidP="00A9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IV. Implementatie </w:t>
            </w:r>
            <w:r w:rsidRPr="00A902E4">
              <w:t>PDCA cyclus met de Canvas Methode</w:t>
            </w:r>
          </w:p>
        </w:tc>
      </w:tr>
      <w:tr w:rsidR="00A902E4" w14:paraId="5F8CAD3F" w14:textId="77777777" w:rsidTr="0011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13CC8C8" w14:textId="77777777" w:rsidR="00A902E4" w:rsidRDefault="00A902E4" w:rsidP="00A902E4">
            <w:pPr>
              <w:ind w:left="720"/>
              <w:rPr>
                <w:lang w:val="nl-NL"/>
              </w:rPr>
            </w:pPr>
            <w:r>
              <w:rPr>
                <w:lang w:val="nl-NL"/>
              </w:rPr>
              <w:t>Beleggen van verantwoordelijkheden</w:t>
            </w:r>
          </w:p>
        </w:tc>
        <w:tc>
          <w:tcPr>
            <w:tcW w:w="4508" w:type="dxa"/>
          </w:tcPr>
          <w:p w14:paraId="13EF5496" w14:textId="700CF1F0" w:rsidR="00A902E4" w:rsidRDefault="00A902E4" w:rsidP="00A9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III. Capaciteiten ontwikkelen (onderdeel van …)</w:t>
            </w:r>
          </w:p>
        </w:tc>
      </w:tr>
      <w:tr w:rsidR="00A902E4" w14:paraId="3DD0A6D2" w14:textId="77777777" w:rsidTr="0011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2DF3C6A" w14:textId="77777777" w:rsidR="00A902E4" w:rsidRDefault="00A902E4" w:rsidP="00A902E4">
            <w:pPr>
              <w:ind w:left="720"/>
              <w:rPr>
                <w:lang w:val="nl-NL"/>
              </w:rPr>
            </w:pPr>
            <w:r>
              <w:rPr>
                <w:lang w:val="nl-NL"/>
              </w:rPr>
              <w:t>Identiteits- en toegangsbeheer</w:t>
            </w:r>
          </w:p>
        </w:tc>
        <w:tc>
          <w:tcPr>
            <w:tcW w:w="4508" w:type="dxa"/>
          </w:tcPr>
          <w:p w14:paraId="391D8DAB" w14:textId="05F290C2" w:rsidR="00A902E4" w:rsidRDefault="00A902E4" w:rsidP="00A9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II. Implementatieplan maatregelen </w:t>
            </w:r>
            <w:r>
              <w:t>(onderdeel van …)</w:t>
            </w:r>
          </w:p>
        </w:tc>
      </w:tr>
      <w:tr w:rsidR="00A902E4" w14:paraId="0988298F" w14:textId="77777777" w:rsidTr="0011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89CADFE" w14:textId="77777777" w:rsidR="00A902E4" w:rsidRDefault="00A902E4" w:rsidP="00A902E4">
            <w:pPr>
              <w:ind w:left="720"/>
              <w:rPr>
                <w:lang w:val="nl-NL"/>
              </w:rPr>
            </w:pPr>
            <w:r>
              <w:rPr>
                <w:lang w:val="nl-NL"/>
              </w:rPr>
              <w:t>Incidentrespons</w:t>
            </w:r>
          </w:p>
        </w:tc>
        <w:tc>
          <w:tcPr>
            <w:tcW w:w="4508" w:type="dxa"/>
          </w:tcPr>
          <w:p w14:paraId="7DCBABBB" w14:textId="18684363" w:rsidR="00A902E4" w:rsidRPr="00A902E4" w:rsidRDefault="00A902E4" w:rsidP="00A9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nl-NL"/>
              </w:rPr>
              <w:t xml:space="preserve">I. </w:t>
            </w:r>
            <w:r w:rsidRPr="00A902E4">
              <w:t>Calamiteitenplan</w:t>
            </w:r>
            <w:r>
              <w:t xml:space="preserve"> (onderdeel van …)</w:t>
            </w:r>
          </w:p>
        </w:tc>
      </w:tr>
      <w:tr w:rsidR="00A902E4" w14:paraId="6548C93F" w14:textId="77777777" w:rsidTr="0011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7AF19C2" w14:textId="77777777" w:rsidR="00A902E4" w:rsidRDefault="00A902E4" w:rsidP="00A902E4">
            <w:pPr>
              <w:ind w:left="720"/>
              <w:rPr>
                <w:lang w:val="nl-NL"/>
              </w:rPr>
            </w:pPr>
            <w:r>
              <w:rPr>
                <w:lang w:val="nl-NL"/>
              </w:rPr>
              <w:t>Toeleveringsketen</w:t>
            </w:r>
          </w:p>
        </w:tc>
        <w:tc>
          <w:tcPr>
            <w:tcW w:w="4508" w:type="dxa"/>
          </w:tcPr>
          <w:p w14:paraId="237BF3E8" w14:textId="6B047128" w:rsidR="00A902E4" w:rsidRDefault="00A902E4" w:rsidP="00A9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III. Leveranciersmanagement</w:t>
            </w:r>
          </w:p>
        </w:tc>
      </w:tr>
      <w:tr w:rsidR="00A902E4" w14:paraId="454261C7" w14:textId="77777777" w:rsidTr="0011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45D580B" w14:textId="77777777" w:rsidR="00A902E4" w:rsidRDefault="00A902E4" w:rsidP="00A902E4">
            <w:pPr>
              <w:rPr>
                <w:lang w:val="nl-NL"/>
              </w:rPr>
            </w:pPr>
            <w:r>
              <w:rPr>
                <w:lang w:val="nl-NL"/>
              </w:rPr>
              <w:t>Meldplicht</w:t>
            </w:r>
          </w:p>
        </w:tc>
        <w:tc>
          <w:tcPr>
            <w:tcW w:w="4508" w:type="dxa"/>
          </w:tcPr>
          <w:p w14:paraId="7C0775E2" w14:textId="77777777" w:rsidR="00A902E4" w:rsidRDefault="00A902E4" w:rsidP="00A9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A902E4" w14:paraId="2D0E5ED1" w14:textId="77777777" w:rsidTr="0011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EADE0BE" w14:textId="77777777" w:rsidR="00A902E4" w:rsidRDefault="00A902E4" w:rsidP="00A902E4">
            <w:pPr>
              <w:rPr>
                <w:lang w:val="nl-NL"/>
              </w:rPr>
            </w:pPr>
            <w:r>
              <w:rPr>
                <w:lang w:val="nl-NL"/>
              </w:rPr>
              <w:t>Bestuursverantwoordelijkheid</w:t>
            </w:r>
          </w:p>
        </w:tc>
        <w:tc>
          <w:tcPr>
            <w:tcW w:w="4508" w:type="dxa"/>
          </w:tcPr>
          <w:p w14:paraId="0F939D83" w14:textId="77777777" w:rsidR="00A902E4" w:rsidRDefault="00A902E4" w:rsidP="00A9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A902E4" w14:paraId="65F07BF5" w14:textId="77777777" w:rsidTr="0011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B58428F" w14:textId="77777777" w:rsidR="00A902E4" w:rsidRDefault="00A902E4" w:rsidP="00A902E4">
            <w:pPr>
              <w:ind w:left="720"/>
              <w:rPr>
                <w:lang w:val="nl-NL"/>
              </w:rPr>
            </w:pPr>
            <w:r>
              <w:rPr>
                <w:lang w:val="nl-NL"/>
              </w:rPr>
              <w:t>Goedkeuren, implementeren en bewaking van maatregelen</w:t>
            </w:r>
          </w:p>
        </w:tc>
        <w:tc>
          <w:tcPr>
            <w:tcW w:w="4508" w:type="dxa"/>
          </w:tcPr>
          <w:p w14:paraId="7E5AA4EC" w14:textId="77777777" w:rsidR="007A2691" w:rsidRPr="007A2691" w:rsidRDefault="007A2691" w:rsidP="007A26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nl-NL"/>
              </w:rPr>
              <w:t xml:space="preserve">III. </w:t>
            </w:r>
            <w:r w:rsidRPr="007A2691">
              <w:t>Sturing op informatieveiligheid</w:t>
            </w:r>
          </w:p>
          <w:p w14:paraId="23FE1821" w14:textId="7675F53B" w:rsidR="00A902E4" w:rsidRDefault="00A902E4" w:rsidP="00A9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A902E4" w14:paraId="784C8972" w14:textId="77777777" w:rsidTr="0011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5D05B44" w14:textId="77777777" w:rsidR="00A902E4" w:rsidRDefault="00A902E4" w:rsidP="00A902E4">
            <w:pPr>
              <w:ind w:left="720"/>
              <w:rPr>
                <w:lang w:val="nl-NL"/>
              </w:rPr>
            </w:pPr>
            <w:r>
              <w:rPr>
                <w:lang w:val="nl-NL"/>
              </w:rPr>
              <w:t>Leiderschap</w:t>
            </w:r>
          </w:p>
        </w:tc>
        <w:tc>
          <w:tcPr>
            <w:tcW w:w="4508" w:type="dxa"/>
          </w:tcPr>
          <w:p w14:paraId="354A23CF" w14:textId="6A328D99" w:rsidR="00A902E4" w:rsidRPr="007A2691" w:rsidRDefault="007A2691" w:rsidP="00A9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>Managementverantwoordelijkheid</w:t>
            </w:r>
          </w:p>
        </w:tc>
      </w:tr>
      <w:tr w:rsidR="00A902E4" w14:paraId="7D0D57BA" w14:textId="77777777" w:rsidTr="0011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B41E508" w14:textId="77777777" w:rsidR="00A902E4" w:rsidRDefault="00A902E4" w:rsidP="00A902E4">
            <w:pPr>
              <w:ind w:left="720"/>
              <w:rPr>
                <w:lang w:val="nl-NL"/>
              </w:rPr>
            </w:pPr>
            <w:r>
              <w:rPr>
                <w:lang w:val="nl-NL"/>
              </w:rPr>
              <w:t>Training management</w:t>
            </w:r>
          </w:p>
        </w:tc>
        <w:tc>
          <w:tcPr>
            <w:tcW w:w="4508" w:type="dxa"/>
          </w:tcPr>
          <w:p w14:paraId="19FC3F19" w14:textId="0552A054" w:rsidR="00A902E4" w:rsidRPr="007A2691" w:rsidRDefault="007A2691" w:rsidP="007A2691">
            <w:pPr>
              <w:pStyle w:val="NormalWeb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I. </w:t>
            </w:r>
            <w:r>
              <w:t>Workshop Sturen op Risico’s</w:t>
            </w:r>
          </w:p>
        </w:tc>
      </w:tr>
      <w:tr w:rsidR="00A902E4" w14:paraId="4ACC9525" w14:textId="77777777" w:rsidTr="0011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3EB7CE0" w14:textId="77777777" w:rsidR="00A902E4" w:rsidRDefault="00A902E4" w:rsidP="00A902E4">
            <w:pPr>
              <w:ind w:left="720"/>
              <w:rPr>
                <w:lang w:val="nl-NL"/>
              </w:rPr>
            </w:pPr>
            <w:r>
              <w:rPr>
                <w:lang w:val="nl-NL"/>
              </w:rPr>
              <w:t>Training van werknemers</w:t>
            </w:r>
          </w:p>
        </w:tc>
        <w:tc>
          <w:tcPr>
            <w:tcW w:w="4508" w:type="dxa"/>
          </w:tcPr>
          <w:p w14:paraId="7C224C0D" w14:textId="7C91EE31" w:rsidR="00A902E4" w:rsidRDefault="007A2691" w:rsidP="00A90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II. Implementatieplan maatregelen </w:t>
            </w:r>
            <w:r>
              <w:t>(onderdeel van …)</w:t>
            </w:r>
          </w:p>
        </w:tc>
      </w:tr>
    </w:tbl>
    <w:p w14:paraId="125FF943" w14:textId="77777777" w:rsidR="00A902E4" w:rsidRPr="004779B7" w:rsidRDefault="00A902E4" w:rsidP="0028464A">
      <w:pPr>
        <w:rPr>
          <w:lang w:val="nl-NL"/>
        </w:rPr>
      </w:pPr>
    </w:p>
    <w:sectPr w:rsidR="00A902E4" w:rsidRPr="004779B7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15110" w14:textId="77777777" w:rsidR="00B37335" w:rsidRDefault="00B37335" w:rsidP="00D639FF">
      <w:r>
        <w:separator/>
      </w:r>
    </w:p>
  </w:endnote>
  <w:endnote w:type="continuationSeparator" w:id="0">
    <w:p w14:paraId="549E4B07" w14:textId="77777777" w:rsidR="00B37335" w:rsidRDefault="00B37335" w:rsidP="00D6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71291656"/>
      <w:docPartObj>
        <w:docPartGallery w:val="Page Numbers (Bottom of Page)"/>
        <w:docPartUnique/>
      </w:docPartObj>
    </w:sdtPr>
    <w:sdtContent>
      <w:p w14:paraId="121192AD" w14:textId="4B659917" w:rsidR="00770A5C" w:rsidRDefault="00770A5C" w:rsidP="00BB0BB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13676F" w14:textId="77777777" w:rsidR="00770A5C" w:rsidRDefault="00770A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052759464"/>
      <w:docPartObj>
        <w:docPartGallery w:val="Page Numbers (Bottom of Page)"/>
        <w:docPartUnique/>
      </w:docPartObj>
    </w:sdtPr>
    <w:sdtContent>
      <w:p w14:paraId="31773F27" w14:textId="0CC95DF2" w:rsidR="00770A5C" w:rsidRDefault="00770A5C" w:rsidP="00BB0BB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7C5CFF2" w14:textId="77777777" w:rsidR="00770A5C" w:rsidRDefault="00770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60B0F" w14:textId="77777777" w:rsidR="00B37335" w:rsidRDefault="00B37335" w:rsidP="00D639FF">
      <w:r>
        <w:separator/>
      </w:r>
    </w:p>
  </w:footnote>
  <w:footnote w:type="continuationSeparator" w:id="0">
    <w:p w14:paraId="361B6A88" w14:textId="77777777" w:rsidR="00B37335" w:rsidRDefault="00B37335" w:rsidP="00D639FF">
      <w:r>
        <w:continuationSeparator/>
      </w:r>
    </w:p>
  </w:footnote>
  <w:footnote w:id="1">
    <w:p w14:paraId="4D94576D" w14:textId="712C9233" w:rsidR="00D639FF" w:rsidRPr="00D639FF" w:rsidRDefault="00D639FF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nl-NL"/>
        </w:rPr>
        <w:t>De ISO 27002 is een nadere uitwerking van de maatregelen die in de Annex A van de ISO 27001 benoemd worden. Voor ons project I</w:t>
      </w:r>
      <w:r w:rsidRPr="00D639FF">
        <w:rPr>
          <w:lang w:val="nl-NL"/>
        </w:rPr>
        <w:t>nformatiebeveiliging</w:t>
      </w:r>
      <w:r>
        <w:rPr>
          <w:lang w:val="nl-NL"/>
        </w:rPr>
        <w:t xml:space="preserve"> gebruiken we de ISO 27001/27002 als kapstok. </w:t>
      </w:r>
      <w:r w:rsidRPr="00D639FF">
        <w:t xml:space="preserve">De BIO is </w:t>
      </w:r>
      <w:r>
        <w:t xml:space="preserve">ook </w:t>
      </w:r>
      <w:r w:rsidRPr="00D639FF">
        <w:t>gebaseerd op de</w:t>
      </w:r>
      <w:r>
        <w:t xml:space="preserve"> ISO</w:t>
      </w:r>
      <w:r w:rsidRPr="00D639FF">
        <w:rPr>
          <w:rFonts w:eastAsiaTheme="majorEastAsia"/>
        </w:rPr>
        <w:t> 27001</w:t>
      </w:r>
      <w:r>
        <w:t xml:space="preserve"> / 27002.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36CC1"/>
    <w:multiLevelType w:val="multilevel"/>
    <w:tmpl w:val="0EF4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42DA4"/>
    <w:multiLevelType w:val="hybridMultilevel"/>
    <w:tmpl w:val="B36A7C48"/>
    <w:lvl w:ilvl="0" w:tplc="45A8B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86346"/>
    <w:multiLevelType w:val="hybridMultilevel"/>
    <w:tmpl w:val="AFA0080C"/>
    <w:lvl w:ilvl="0" w:tplc="E48ECE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93242"/>
    <w:multiLevelType w:val="multilevel"/>
    <w:tmpl w:val="7DD8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73520"/>
    <w:multiLevelType w:val="hybridMultilevel"/>
    <w:tmpl w:val="6FB4DF22"/>
    <w:lvl w:ilvl="0" w:tplc="EE642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86309"/>
    <w:multiLevelType w:val="multilevel"/>
    <w:tmpl w:val="4176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E13CB"/>
    <w:multiLevelType w:val="hybridMultilevel"/>
    <w:tmpl w:val="44364FA4"/>
    <w:lvl w:ilvl="0" w:tplc="EE642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E673A"/>
    <w:multiLevelType w:val="multilevel"/>
    <w:tmpl w:val="B076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B458F"/>
    <w:multiLevelType w:val="multilevel"/>
    <w:tmpl w:val="A672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264247"/>
    <w:multiLevelType w:val="hybridMultilevel"/>
    <w:tmpl w:val="B056464C"/>
    <w:lvl w:ilvl="0" w:tplc="EE642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14515"/>
    <w:multiLevelType w:val="hybridMultilevel"/>
    <w:tmpl w:val="E7D808B6"/>
    <w:lvl w:ilvl="0" w:tplc="E48ECE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E7EBC"/>
    <w:multiLevelType w:val="multilevel"/>
    <w:tmpl w:val="841E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911291">
    <w:abstractNumId w:val="3"/>
  </w:num>
  <w:num w:numId="2" w16cid:durableId="287662972">
    <w:abstractNumId w:val="5"/>
  </w:num>
  <w:num w:numId="3" w16cid:durableId="1271625314">
    <w:abstractNumId w:val="2"/>
  </w:num>
  <w:num w:numId="4" w16cid:durableId="1028916523">
    <w:abstractNumId w:val="10"/>
  </w:num>
  <w:num w:numId="5" w16cid:durableId="367339368">
    <w:abstractNumId w:val="6"/>
  </w:num>
  <w:num w:numId="6" w16cid:durableId="1076518330">
    <w:abstractNumId w:val="9"/>
  </w:num>
  <w:num w:numId="7" w16cid:durableId="1300918443">
    <w:abstractNumId w:val="4"/>
  </w:num>
  <w:num w:numId="8" w16cid:durableId="1471437961">
    <w:abstractNumId w:val="7"/>
  </w:num>
  <w:num w:numId="9" w16cid:durableId="95058308">
    <w:abstractNumId w:val="11"/>
  </w:num>
  <w:num w:numId="10" w16cid:durableId="1195073089">
    <w:abstractNumId w:val="0"/>
  </w:num>
  <w:num w:numId="11" w16cid:durableId="567301973">
    <w:abstractNumId w:val="1"/>
  </w:num>
  <w:num w:numId="12" w16cid:durableId="1318998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02"/>
    <w:rsid w:val="00004C77"/>
    <w:rsid w:val="00063B9B"/>
    <w:rsid w:val="001101E0"/>
    <w:rsid w:val="00121EA3"/>
    <w:rsid w:val="0028464A"/>
    <w:rsid w:val="00476451"/>
    <w:rsid w:val="004779B7"/>
    <w:rsid w:val="00505A02"/>
    <w:rsid w:val="00665577"/>
    <w:rsid w:val="00770A5C"/>
    <w:rsid w:val="007A2691"/>
    <w:rsid w:val="009528CD"/>
    <w:rsid w:val="009A515C"/>
    <w:rsid w:val="00A902E4"/>
    <w:rsid w:val="00B37335"/>
    <w:rsid w:val="00B4698D"/>
    <w:rsid w:val="00D639FF"/>
    <w:rsid w:val="00FD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420846"/>
  <w15:chartTrackingRefBased/>
  <w15:docId w15:val="{ADFF9C28-8824-1046-9783-4CB65942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2E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A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A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A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A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5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A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A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4C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C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4C77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39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9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39FF"/>
    <w:rPr>
      <w:vertAlign w:val="superscript"/>
    </w:rPr>
  </w:style>
  <w:style w:type="character" w:customStyle="1" w:styleId="bold">
    <w:name w:val="bold"/>
    <w:basedOn w:val="DefaultParagraphFont"/>
    <w:rsid w:val="00FD7969"/>
  </w:style>
  <w:style w:type="character" w:customStyle="1" w:styleId="ng-star-inserted">
    <w:name w:val="ng-star-inserted"/>
    <w:basedOn w:val="DefaultParagraphFont"/>
    <w:rsid w:val="00FD7969"/>
  </w:style>
  <w:style w:type="paragraph" w:styleId="TOC1">
    <w:name w:val="toc 1"/>
    <w:basedOn w:val="Normal"/>
    <w:next w:val="Normal"/>
    <w:autoRedefine/>
    <w:uiPriority w:val="39"/>
    <w:unhideWhenUsed/>
    <w:rsid w:val="00770A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70A5C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770A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A5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0A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A5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70A5C"/>
  </w:style>
  <w:style w:type="table" w:styleId="TableGrid">
    <w:name w:val="Table Grid"/>
    <w:basedOn w:val="TableNormal"/>
    <w:uiPriority w:val="39"/>
    <w:rsid w:val="00B46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4698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A90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-overheid.nl/category/producten?product=B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sc.nl/over-ncsc/wettelijke-taak/wat-gaat-de-nis2-richtlijn-betekenen-voor-uw-organisatie/registrer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Kranendonk</dc:creator>
  <cp:keywords/>
  <dc:description/>
  <cp:lastModifiedBy>Richard Kranendonk</cp:lastModifiedBy>
  <cp:revision>3</cp:revision>
  <dcterms:created xsi:type="dcterms:W3CDTF">2024-10-22T12:10:00Z</dcterms:created>
  <dcterms:modified xsi:type="dcterms:W3CDTF">2024-10-22T14:55:00Z</dcterms:modified>
</cp:coreProperties>
</file>