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F5FF" w14:textId="77777777" w:rsidR="00270EED" w:rsidRPr="00041D95" w:rsidRDefault="00032FE6">
      <w:pPr>
        <w:spacing w:before="0" w:after="200" w:line="288" w:lineRule="auto"/>
        <w:rPr>
          <w:lang w:val="nl-NL"/>
        </w:rPr>
      </w:pPr>
      <w:r w:rsidRPr="00041D95">
        <w:rPr>
          <w:noProof/>
          <w:lang w:val="nl-NL"/>
        </w:rPr>
        <w:drawing>
          <wp:inline distT="114300" distB="114300" distL="114300" distR="114300" wp14:anchorId="4949046F" wp14:editId="113BE8F9">
            <wp:extent cx="5943600" cy="63500"/>
            <wp:effectExtent l="0" t="0" r="0" b="0"/>
            <wp:docPr id="2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371A04" w14:textId="77777777" w:rsidR="00270EED" w:rsidRPr="004E78D9" w:rsidRDefault="00032FE6">
      <w:pPr>
        <w:spacing w:before="0" w:line="288" w:lineRule="auto"/>
        <w:rPr>
          <w:b/>
          <w:color w:val="00AB44"/>
          <w:sz w:val="28"/>
          <w:szCs w:val="28"/>
          <w:lang w:val="en-US"/>
        </w:rPr>
      </w:pPr>
      <w:r w:rsidRPr="004E78D9">
        <w:rPr>
          <w:b/>
          <w:color w:val="00AB44"/>
          <w:sz w:val="28"/>
          <w:szCs w:val="28"/>
          <w:lang w:val="en-US"/>
        </w:rPr>
        <w:t>Thinking Security Works</w:t>
      </w:r>
    </w:p>
    <w:p w14:paraId="18EDF840" w14:textId="77777777" w:rsidR="00270EED" w:rsidRPr="004E78D9" w:rsidRDefault="00032FE6">
      <w:pPr>
        <w:tabs>
          <w:tab w:val="right" w:pos="9360"/>
        </w:tabs>
        <w:spacing w:before="0" w:line="288" w:lineRule="auto"/>
        <w:rPr>
          <w:color w:val="666666"/>
          <w:sz w:val="20"/>
          <w:szCs w:val="20"/>
          <w:lang w:val="en-US"/>
        </w:rPr>
      </w:pPr>
      <w:r w:rsidRPr="004E78D9">
        <w:rPr>
          <w:color w:val="666666"/>
          <w:sz w:val="20"/>
          <w:szCs w:val="20"/>
          <w:lang w:val="en-US"/>
        </w:rPr>
        <w:t>Hooghiemstraplein 112</w:t>
      </w:r>
      <w:r w:rsidRPr="004E78D9">
        <w:rPr>
          <w:color w:val="666666"/>
          <w:sz w:val="20"/>
          <w:szCs w:val="20"/>
          <w:lang w:val="en-US"/>
        </w:rPr>
        <w:tab/>
        <w:t>richard@thinkingsecurity.works</w:t>
      </w:r>
    </w:p>
    <w:p w14:paraId="7C597F32" w14:textId="77777777" w:rsidR="00270EED" w:rsidRPr="00041D95" w:rsidRDefault="00032FE6">
      <w:pPr>
        <w:tabs>
          <w:tab w:val="right" w:pos="9360"/>
        </w:tabs>
        <w:spacing w:before="0" w:line="288" w:lineRule="auto"/>
        <w:rPr>
          <w:color w:val="666666"/>
          <w:sz w:val="20"/>
          <w:szCs w:val="20"/>
          <w:lang w:val="nl-NL"/>
        </w:rPr>
      </w:pPr>
      <w:r w:rsidRPr="00041D95">
        <w:rPr>
          <w:color w:val="666666"/>
          <w:sz w:val="20"/>
          <w:szCs w:val="20"/>
          <w:lang w:val="nl-NL"/>
        </w:rPr>
        <w:t>3514 AZ Utrecht</w:t>
      </w:r>
      <w:r w:rsidRPr="00041D95">
        <w:rPr>
          <w:color w:val="666666"/>
          <w:sz w:val="20"/>
          <w:szCs w:val="20"/>
          <w:lang w:val="nl-NL"/>
        </w:rPr>
        <w:tab/>
        <w:t>(+31) 6 286 388 46</w:t>
      </w:r>
    </w:p>
    <w:p w14:paraId="10719A1A" w14:textId="77777777" w:rsidR="00270EED" w:rsidRPr="00041D95" w:rsidRDefault="00032FE6">
      <w:pPr>
        <w:spacing w:before="0" w:line="288" w:lineRule="auto"/>
        <w:rPr>
          <w:color w:val="666666"/>
          <w:sz w:val="20"/>
          <w:szCs w:val="20"/>
          <w:lang w:val="nl-NL"/>
        </w:rPr>
      </w:pPr>
      <w:r w:rsidRPr="00041D95">
        <w:rPr>
          <w:color w:val="666666"/>
          <w:sz w:val="20"/>
          <w:szCs w:val="20"/>
          <w:lang w:val="nl-NL"/>
        </w:rPr>
        <w:tab/>
      </w:r>
    </w:p>
    <w:p w14:paraId="3F15DC74" w14:textId="2F71A54E" w:rsidR="00C5130E" w:rsidRPr="00041D95" w:rsidRDefault="005F097A" w:rsidP="003F7CDD">
      <w:pPr>
        <w:spacing w:before="320" w:line="288" w:lineRule="auto"/>
        <w:rPr>
          <w:sz w:val="68"/>
          <w:szCs w:val="68"/>
          <w:lang w:val="nl-NL"/>
        </w:rPr>
      </w:pPr>
      <w:r>
        <w:rPr>
          <w:sz w:val="68"/>
          <w:szCs w:val="68"/>
          <w:lang w:val="nl-NL"/>
        </w:rPr>
        <w:t>Herijking</w:t>
      </w:r>
      <w:r>
        <w:rPr>
          <w:sz w:val="68"/>
          <w:szCs w:val="68"/>
          <w:lang w:val="nl-NL"/>
        </w:rPr>
        <w:br/>
        <w:t xml:space="preserve">project </w:t>
      </w:r>
      <w:r w:rsidRPr="005F097A">
        <w:rPr>
          <w:sz w:val="68"/>
          <w:szCs w:val="68"/>
          <w:lang w:val="nl-NL"/>
        </w:rPr>
        <w:t xml:space="preserve">informatiebeveiliging </w:t>
      </w:r>
      <w:r w:rsidR="00C5130E" w:rsidRPr="00C5130E">
        <w:rPr>
          <w:sz w:val="68"/>
          <w:szCs w:val="68"/>
          <w:lang w:val="nl-NL"/>
        </w:rPr>
        <w:t>Humankind</w:t>
      </w:r>
    </w:p>
    <w:p w14:paraId="7A5F7D22" w14:textId="59C75C0B" w:rsidR="00C5130E" w:rsidRDefault="00C5130E">
      <w:pPr>
        <w:rPr>
          <w:lang w:val="nl-NL"/>
        </w:rPr>
      </w:pPr>
      <w:r w:rsidRPr="00C5130E">
        <w:rPr>
          <w:lang w:val="nl-NL"/>
        </w:rPr>
        <w:t>1</w:t>
      </w:r>
      <w:r w:rsidR="005F097A">
        <w:rPr>
          <w:lang w:val="nl-NL"/>
        </w:rPr>
        <w:t>4</w:t>
      </w:r>
      <w:r w:rsidR="009E410C">
        <w:rPr>
          <w:lang w:val="nl-NL"/>
        </w:rPr>
        <w:t xml:space="preserve"> </w:t>
      </w:r>
      <w:r w:rsidRPr="00C5130E">
        <w:rPr>
          <w:lang w:val="nl-NL"/>
        </w:rPr>
        <w:t>november 2024</w:t>
      </w:r>
    </w:p>
    <w:p w14:paraId="4C6C417A" w14:textId="44D61105" w:rsidR="00270EED" w:rsidRPr="00041D95" w:rsidRDefault="00270EED">
      <w:pPr>
        <w:rPr>
          <w:lang w:val="nl-NL"/>
        </w:rPr>
      </w:pPr>
    </w:p>
    <w:p w14:paraId="7018C946" w14:textId="77777777" w:rsidR="00270EED" w:rsidRPr="00041D95" w:rsidRDefault="00270EED">
      <w:pPr>
        <w:rPr>
          <w:lang w:val="nl-NL"/>
        </w:rPr>
      </w:pPr>
    </w:p>
    <w:p w14:paraId="01EE681D" w14:textId="77777777" w:rsidR="00270EED" w:rsidRPr="00041D95" w:rsidRDefault="00270EED">
      <w:pPr>
        <w:rPr>
          <w:lang w:val="nl-NL"/>
        </w:rPr>
      </w:pPr>
    </w:p>
    <w:p w14:paraId="321CC062" w14:textId="77777777" w:rsidR="00270EED" w:rsidRPr="00041D95" w:rsidRDefault="00270EED">
      <w:pPr>
        <w:rPr>
          <w:lang w:val="nl-NL"/>
        </w:rPr>
      </w:pPr>
    </w:p>
    <w:p w14:paraId="140D2AA7" w14:textId="77777777" w:rsidR="00270EED" w:rsidRPr="00041D95" w:rsidRDefault="00270EED">
      <w:pPr>
        <w:rPr>
          <w:lang w:val="nl-NL"/>
        </w:rPr>
      </w:pPr>
    </w:p>
    <w:p w14:paraId="5829F1E1" w14:textId="77777777" w:rsidR="00270EED" w:rsidRPr="00041D95" w:rsidRDefault="00270EED">
      <w:pPr>
        <w:rPr>
          <w:lang w:val="nl-NL"/>
        </w:rPr>
      </w:pPr>
    </w:p>
    <w:p w14:paraId="5C311AD4" w14:textId="77777777" w:rsidR="00270EED" w:rsidRPr="00041D95" w:rsidRDefault="00270EED">
      <w:pPr>
        <w:rPr>
          <w:lang w:val="nl-NL"/>
        </w:rPr>
      </w:pPr>
    </w:p>
    <w:p w14:paraId="62DF2BE7" w14:textId="77777777" w:rsidR="00270EED" w:rsidRPr="00041D95" w:rsidRDefault="00270EED">
      <w:pPr>
        <w:rPr>
          <w:lang w:val="nl-NL"/>
        </w:rPr>
      </w:pPr>
    </w:p>
    <w:p w14:paraId="26A4248C" w14:textId="77777777" w:rsidR="00270EED" w:rsidRPr="00041D95" w:rsidRDefault="00270EED">
      <w:pPr>
        <w:rPr>
          <w:lang w:val="nl-NL"/>
        </w:rPr>
      </w:pPr>
    </w:p>
    <w:p w14:paraId="021ACA5B" w14:textId="77777777" w:rsidR="00270EED" w:rsidRPr="00041D95" w:rsidRDefault="00270EED">
      <w:pPr>
        <w:rPr>
          <w:lang w:val="nl-NL"/>
        </w:rPr>
      </w:pPr>
    </w:p>
    <w:p w14:paraId="3E307591" w14:textId="77777777" w:rsidR="00FA1793" w:rsidRPr="00041D95" w:rsidRDefault="00FA1793" w:rsidP="00427F50">
      <w:pPr>
        <w:rPr>
          <w:lang w:val="nl-NL"/>
        </w:rPr>
      </w:pPr>
      <w:bookmarkStart w:id="0" w:name="_a73xkmnvsppr" w:colFirst="0" w:colLast="0"/>
      <w:bookmarkEnd w:id="0"/>
    </w:p>
    <w:p w14:paraId="7D20E59D" w14:textId="77777777" w:rsidR="00FA1793" w:rsidRPr="00041D95" w:rsidRDefault="00FA1793">
      <w:pPr>
        <w:rPr>
          <w:b/>
          <w:color w:val="00AB44"/>
          <w:sz w:val="28"/>
          <w:szCs w:val="28"/>
          <w:lang w:val="nl-NL"/>
        </w:rPr>
      </w:pPr>
      <w:r w:rsidRPr="00041D95">
        <w:rPr>
          <w:lang w:val="nl-NL"/>
        </w:rPr>
        <w:br w:type="page"/>
      </w:r>
    </w:p>
    <w:p w14:paraId="49FE11D1" w14:textId="3701F0BC" w:rsidR="00270EED" w:rsidRPr="00427F50" w:rsidRDefault="005F097A" w:rsidP="006F36D0">
      <w:pPr>
        <w:pStyle w:val="Heading1"/>
        <w:numPr>
          <w:ilvl w:val="0"/>
          <w:numId w:val="0"/>
        </w:numPr>
      </w:pPr>
      <w:bookmarkStart w:id="1" w:name="_Toc182482749"/>
      <w:r>
        <w:lastRenderedPageBreak/>
        <w:t>Aanleiding</w:t>
      </w:r>
      <w:bookmarkEnd w:id="1"/>
    </w:p>
    <w:p w14:paraId="0B44C26D" w14:textId="67B1916F" w:rsidR="002B10E0" w:rsidRDefault="002B10E0">
      <w:pPr>
        <w:rPr>
          <w:lang w:val="nl-NL"/>
        </w:rPr>
      </w:pPr>
      <w:r>
        <w:rPr>
          <w:lang w:val="nl-NL"/>
        </w:rPr>
        <w:t xml:space="preserve">In juni 2024 is mij door het Bestuur van </w:t>
      </w:r>
      <w:r w:rsidRPr="002B10E0">
        <w:rPr>
          <w:lang w:val="nl-NL"/>
        </w:rPr>
        <w:t xml:space="preserve">Humankind </w:t>
      </w:r>
      <w:r>
        <w:rPr>
          <w:lang w:val="nl-NL"/>
        </w:rPr>
        <w:t xml:space="preserve">de opdracht gegund om de </w:t>
      </w:r>
      <w:r w:rsidRPr="002B10E0">
        <w:rPr>
          <w:lang w:val="nl-NL"/>
        </w:rPr>
        <w:t>informatieveiligheid</w:t>
      </w:r>
      <w:r>
        <w:rPr>
          <w:lang w:val="nl-NL"/>
        </w:rPr>
        <w:t xml:space="preserve"> van de organisatie naar een hoger plan te brengen.</w:t>
      </w:r>
    </w:p>
    <w:p w14:paraId="0818F161" w14:textId="7B948314" w:rsidR="002B10E0" w:rsidRDefault="002B10E0">
      <w:pPr>
        <w:rPr>
          <w:lang w:val="nl-NL"/>
        </w:rPr>
      </w:pPr>
      <w:r>
        <w:rPr>
          <w:lang w:val="nl-NL"/>
        </w:rPr>
        <w:t xml:space="preserve">Mijn voorstel van destijds was gebaseerd op een uitvraag, en bijsturing daarop, van de </w:t>
      </w:r>
      <w:r w:rsidRPr="002B10E0">
        <w:rPr>
          <w:lang w:val="nl-NL"/>
        </w:rPr>
        <w:t>Manager Informatie Management</w:t>
      </w:r>
      <w:r>
        <w:rPr>
          <w:lang w:val="nl-NL"/>
        </w:rPr>
        <w:t xml:space="preserve"> John Keulen.</w:t>
      </w:r>
    </w:p>
    <w:p w14:paraId="256D4581" w14:textId="4038B229" w:rsidR="002B10E0" w:rsidRDefault="002B10E0">
      <w:pPr>
        <w:rPr>
          <w:lang w:val="nl-NL"/>
        </w:rPr>
      </w:pPr>
      <w:r>
        <w:rPr>
          <w:lang w:val="nl-NL"/>
        </w:rPr>
        <w:t xml:space="preserve">De daarin gegeven aanpak </w:t>
      </w:r>
      <w:r w:rsidR="00570A3F">
        <w:rPr>
          <w:lang w:val="nl-NL"/>
        </w:rPr>
        <w:t xml:space="preserve">was product gebaseerd, en </w:t>
      </w:r>
      <w:r>
        <w:rPr>
          <w:lang w:val="nl-NL"/>
        </w:rPr>
        <w:t>bestond in hoofdlijnen uit</w:t>
      </w:r>
      <w:r w:rsidR="00570A3F">
        <w:rPr>
          <w:lang w:val="nl-NL"/>
        </w:rPr>
        <w:t>:</w:t>
      </w:r>
    </w:p>
    <w:p w14:paraId="1DE92275" w14:textId="6D76A73A" w:rsidR="002B10E0" w:rsidRDefault="002B10E0" w:rsidP="002B10E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>Een check op basisveiligheid door een onafhankelijke partij</w:t>
      </w:r>
    </w:p>
    <w:p w14:paraId="49B95465" w14:textId="54BF693D" w:rsidR="002B10E0" w:rsidRDefault="002B10E0" w:rsidP="002B10E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>Managementworkshops voor bewustwording en eigenaarschap</w:t>
      </w:r>
    </w:p>
    <w:p w14:paraId="3B1C82FC" w14:textId="0AC3C287" w:rsidR="00F62BC7" w:rsidRDefault="00F62BC7" w:rsidP="002B10E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 xml:space="preserve">Workshops voor </w:t>
      </w:r>
      <w:proofErr w:type="gramStart"/>
      <w:r>
        <w:rPr>
          <w:lang w:val="nl-NL"/>
        </w:rPr>
        <w:t>risico analyse</w:t>
      </w:r>
      <w:proofErr w:type="gramEnd"/>
    </w:p>
    <w:p w14:paraId="7DAF1E85" w14:textId="030C86C7" w:rsidR="00F967F0" w:rsidRPr="006F36D0" w:rsidRDefault="00F62BC7" w:rsidP="00F967F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>Het produceren van beleidsstukken op verschillende relevante onderwerpen.</w:t>
      </w:r>
    </w:p>
    <w:p w14:paraId="3F3B6E61" w14:textId="3FB429A9" w:rsidR="00F967F0" w:rsidRPr="006F36D0" w:rsidRDefault="00F967F0" w:rsidP="006F36D0">
      <w:pPr>
        <w:pStyle w:val="Heading1"/>
        <w:numPr>
          <w:ilvl w:val="0"/>
          <w:numId w:val="0"/>
        </w:numPr>
      </w:pPr>
      <w:r w:rsidRPr="006F36D0">
        <w:t>Bijstelling opdracht</w:t>
      </w:r>
    </w:p>
    <w:p w14:paraId="187CF929" w14:textId="686D2BEF" w:rsidR="00F967F0" w:rsidRDefault="00F967F0" w:rsidP="00F967F0">
      <w:pPr>
        <w:rPr>
          <w:lang w:val="nl-NL"/>
        </w:rPr>
      </w:pPr>
      <w:r>
        <w:rPr>
          <w:lang w:val="nl-NL"/>
        </w:rPr>
        <w:t xml:space="preserve">Naar aanleiding van verschillende ontwikkelingen in de organisatie (o.a. een wisseling van management) heb ik op 18 oktober jl. een overleg gehad met </w:t>
      </w:r>
      <w:r w:rsidRPr="00F967F0">
        <w:rPr>
          <w:lang w:val="nl-NL"/>
        </w:rPr>
        <w:t xml:space="preserve">Roxanne </w:t>
      </w:r>
      <w:proofErr w:type="spellStart"/>
      <w:r w:rsidRPr="00F967F0">
        <w:rPr>
          <w:lang w:val="nl-NL"/>
        </w:rPr>
        <w:t>Kokol</w:t>
      </w:r>
      <w:proofErr w:type="spellEnd"/>
      <w:r>
        <w:rPr>
          <w:lang w:val="nl-NL"/>
        </w:rPr>
        <w:t xml:space="preserve">, </w:t>
      </w:r>
      <w:r w:rsidRPr="00F967F0">
        <w:rPr>
          <w:lang w:val="nl-NL"/>
        </w:rPr>
        <w:t>Francis Willemsen</w:t>
      </w:r>
      <w:r w:rsidRPr="00F967F0">
        <w:rPr>
          <w:lang w:val="nl-NL"/>
        </w:rPr>
        <w:t xml:space="preserve"> en </w:t>
      </w:r>
      <w:proofErr w:type="spellStart"/>
      <w:r w:rsidRPr="00F967F0">
        <w:rPr>
          <w:lang w:val="nl-NL"/>
        </w:rPr>
        <w:t>M</w:t>
      </w:r>
      <w:r w:rsidRPr="00F967F0">
        <w:rPr>
          <w:lang w:val="nl-NL"/>
        </w:rPr>
        <w:t>endy</w:t>
      </w:r>
      <w:proofErr w:type="spellEnd"/>
      <w:r w:rsidRPr="00F967F0">
        <w:rPr>
          <w:lang w:val="nl-NL"/>
        </w:rPr>
        <w:t xml:space="preserve"> Peeters</w:t>
      </w:r>
      <w:r>
        <w:rPr>
          <w:lang w:val="nl-NL"/>
        </w:rPr>
        <w:t>, waarin mijn bijdrage op korte termijn als volgt gevraagd werd:</w:t>
      </w:r>
    </w:p>
    <w:p w14:paraId="4189E022" w14:textId="7A82BEDB" w:rsidR="00F967F0" w:rsidRDefault="00F967F0" w:rsidP="00F967F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 xml:space="preserve">Ondersteunen van </w:t>
      </w:r>
      <w:proofErr w:type="spellStart"/>
      <w:r>
        <w:rPr>
          <w:lang w:val="nl-NL"/>
        </w:rPr>
        <w:t>Mendy</w:t>
      </w:r>
      <w:proofErr w:type="spellEnd"/>
      <w:r>
        <w:rPr>
          <w:lang w:val="nl-NL"/>
        </w:rPr>
        <w:t xml:space="preserve"> bij het inrichten van de incidentenproce</w:t>
      </w:r>
      <w:r w:rsidR="006F36D0">
        <w:rPr>
          <w:lang w:val="nl-NL"/>
        </w:rPr>
        <w:t>d</w:t>
      </w:r>
      <w:r>
        <w:rPr>
          <w:lang w:val="nl-NL"/>
        </w:rPr>
        <w:t xml:space="preserve">ure rond het inhuizen van de </w:t>
      </w:r>
      <w:r w:rsidRPr="00F967F0">
        <w:rPr>
          <w:lang w:val="nl-NL"/>
        </w:rPr>
        <w:t>Servicedesk</w:t>
      </w:r>
      <w:r>
        <w:rPr>
          <w:lang w:val="nl-NL"/>
        </w:rPr>
        <w:t>, en het verzorgen van een awareness training</w:t>
      </w:r>
    </w:p>
    <w:p w14:paraId="0412DBE0" w14:textId="65F425BC" w:rsidR="00F967F0" w:rsidRDefault="00F967F0" w:rsidP="00F967F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 xml:space="preserve">Helderheid scheppen </w:t>
      </w:r>
      <w:r w:rsidRPr="00F967F0">
        <w:rPr>
          <w:lang w:val="nl-NL"/>
        </w:rPr>
        <w:t>m.b.t.</w:t>
      </w:r>
      <w:r>
        <w:rPr>
          <w:lang w:val="nl-NL"/>
        </w:rPr>
        <w:t xml:space="preserve"> een aantal eerder gesignaleerde risico’s door interviews met </w:t>
      </w:r>
      <w:r w:rsidRPr="00F967F0">
        <w:rPr>
          <w:lang w:val="nl-NL"/>
        </w:rPr>
        <w:t>medewerker</w:t>
      </w:r>
      <w:r>
        <w:rPr>
          <w:lang w:val="nl-NL"/>
        </w:rPr>
        <w:t>s</w:t>
      </w:r>
    </w:p>
    <w:p w14:paraId="789CD757" w14:textId="6F56657D" w:rsidR="00F967F0" w:rsidRDefault="00F967F0" w:rsidP="00F967F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 xml:space="preserve">Een notitie opstellen over de gevolgen van NIS 2 voor </w:t>
      </w:r>
      <w:r w:rsidRPr="00F967F0">
        <w:rPr>
          <w:lang w:val="nl-NL"/>
        </w:rPr>
        <w:t>Humankind</w:t>
      </w:r>
    </w:p>
    <w:p w14:paraId="39C5355B" w14:textId="18425EE3" w:rsidR="00F967F0" w:rsidRDefault="00F967F0" w:rsidP="00F967F0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 xml:space="preserve">Uitvoeren van een fit/gap analyse tussen bestaande beleidsstukken en het ISO 27001 </w:t>
      </w:r>
      <w:proofErr w:type="spellStart"/>
      <w:r>
        <w:rPr>
          <w:lang w:val="nl-NL"/>
        </w:rPr>
        <w:t>framework</w:t>
      </w:r>
      <w:proofErr w:type="spellEnd"/>
    </w:p>
    <w:p w14:paraId="42C1514F" w14:textId="38F3C638" w:rsidR="00A6090C" w:rsidRDefault="00F967F0" w:rsidP="00A6090C">
      <w:pPr>
        <w:pStyle w:val="ListParagraph"/>
        <w:numPr>
          <w:ilvl w:val="0"/>
          <w:numId w:val="27"/>
        </w:numPr>
        <w:rPr>
          <w:lang w:val="nl-NL"/>
        </w:rPr>
      </w:pPr>
      <w:r>
        <w:rPr>
          <w:lang w:val="nl-NL"/>
        </w:rPr>
        <w:t xml:space="preserve">Opstellen van een implementatieplan </w:t>
      </w:r>
      <w:r w:rsidRPr="00F967F0">
        <w:rPr>
          <w:lang w:val="nl-NL"/>
        </w:rPr>
        <w:t>o.b.v.</w:t>
      </w:r>
      <w:r w:rsidR="00CA4CDF">
        <w:rPr>
          <w:lang w:val="nl-NL"/>
        </w:rPr>
        <w:t xml:space="preserve"> </w:t>
      </w:r>
      <w:r>
        <w:rPr>
          <w:lang w:val="nl-NL"/>
        </w:rPr>
        <w:t>de fit/gap analyse</w:t>
      </w:r>
    </w:p>
    <w:p w14:paraId="11742001" w14:textId="640EE9B7" w:rsidR="00A6090C" w:rsidRDefault="00A6090C" w:rsidP="00A6090C">
      <w:pPr>
        <w:rPr>
          <w:lang w:val="nl-NL"/>
        </w:rPr>
      </w:pPr>
      <w:r>
        <w:rPr>
          <w:lang w:val="nl-NL"/>
        </w:rPr>
        <w:t>Besloten is dat de deliverables uit Fase II</w:t>
      </w:r>
      <w:r>
        <w:rPr>
          <w:rStyle w:val="FootnoteReference"/>
          <w:lang w:val="nl-NL"/>
        </w:rPr>
        <w:footnoteReference w:id="1"/>
      </w:r>
      <w:r>
        <w:rPr>
          <w:lang w:val="nl-NL"/>
        </w:rPr>
        <w:t xml:space="preserve"> onderdeel worden van het op te stellen </w:t>
      </w:r>
      <w:r w:rsidRPr="00A6090C">
        <w:rPr>
          <w:lang w:val="nl-NL"/>
        </w:rPr>
        <w:t>informatiebeveiligingsbeleid.</w:t>
      </w:r>
    </w:p>
    <w:p w14:paraId="750A81C9" w14:textId="2F21E0E0" w:rsidR="00CA4CDF" w:rsidRPr="00A6090C" w:rsidRDefault="00CA4CDF" w:rsidP="00A6090C">
      <w:pPr>
        <w:rPr>
          <w:lang w:val="nl-NL"/>
        </w:rPr>
      </w:pPr>
      <w:r>
        <w:rPr>
          <w:lang w:val="nl-NL"/>
        </w:rPr>
        <w:t>H</w:t>
      </w:r>
      <w:r w:rsidRPr="00A6090C">
        <w:rPr>
          <w:lang w:val="nl-NL"/>
        </w:rPr>
        <w:t>et ontwikkelen van de benodigde capaciteiten in de organisatie</w:t>
      </w:r>
      <w:r>
        <w:rPr>
          <w:lang w:val="nl-NL"/>
        </w:rPr>
        <w:t xml:space="preserve"> (fase III)</w:t>
      </w:r>
      <w:r w:rsidRPr="00A6090C">
        <w:rPr>
          <w:lang w:val="nl-NL"/>
        </w:rPr>
        <w:t xml:space="preserve"> komt aan de orde in het implementatieplan</w:t>
      </w:r>
      <w:r>
        <w:rPr>
          <w:lang w:val="nl-NL"/>
        </w:rPr>
        <w:t>.</w:t>
      </w:r>
    </w:p>
    <w:p w14:paraId="3AB83993" w14:textId="527C5198" w:rsidR="00570A3F" w:rsidRDefault="00570A3F">
      <w:pPr>
        <w:rPr>
          <w:lang w:val="nl-NL"/>
        </w:rPr>
      </w:pPr>
      <w:r>
        <w:rPr>
          <w:lang w:val="nl-NL"/>
        </w:rPr>
        <w:t>Daarmee verandert de opdracht van karakter, nl. van “lever vastgestelde producten op een aantal thema’s”, naar:</w:t>
      </w:r>
    </w:p>
    <w:p w14:paraId="27F29227" w14:textId="4B2C8694" w:rsidR="00570A3F" w:rsidRPr="00CA4CDF" w:rsidRDefault="00570A3F" w:rsidP="00570A3F">
      <w:pPr>
        <w:ind w:left="720"/>
        <w:rPr>
          <w:rStyle w:val="IntenseEmphasis"/>
          <w:b/>
          <w:bCs/>
          <w:color w:val="57BB86"/>
        </w:rPr>
      </w:pPr>
      <w:r w:rsidRPr="00CA4CDF">
        <w:rPr>
          <w:rStyle w:val="IntenseEmphasis"/>
          <w:b/>
          <w:bCs/>
          <w:color w:val="57BB86"/>
        </w:rPr>
        <w:t>“Help ons Humankind veiliger te maken</w:t>
      </w:r>
      <w:r w:rsidR="00CA4CDF" w:rsidRPr="00CA4CDF">
        <w:rPr>
          <w:rStyle w:val="IntenseEmphasis"/>
          <w:b/>
          <w:bCs/>
          <w:color w:val="57BB86"/>
        </w:rPr>
        <w:t>.</w:t>
      </w:r>
      <w:r w:rsidRPr="00CA4CDF">
        <w:rPr>
          <w:rStyle w:val="IntenseEmphasis"/>
          <w:b/>
          <w:bCs/>
          <w:color w:val="57BB86"/>
        </w:rPr>
        <w:t>”</w:t>
      </w:r>
    </w:p>
    <w:p w14:paraId="34979FC7" w14:textId="1ED70B4B" w:rsidR="00570A3F" w:rsidRDefault="00570A3F">
      <w:pPr>
        <w:rPr>
          <w:lang w:val="nl-NL"/>
        </w:rPr>
      </w:pPr>
      <w:r>
        <w:rPr>
          <w:lang w:val="nl-NL"/>
        </w:rPr>
        <w:t>Dat doe ik met veel plezier en ik denk dat deze benadering uiteindelijk effectiever is bij de transities</w:t>
      </w:r>
      <w:r w:rsidR="009B202F">
        <w:rPr>
          <w:lang w:val="nl-NL"/>
        </w:rPr>
        <w:t xml:space="preserve"> waar </w:t>
      </w:r>
      <w:r w:rsidR="009B202F" w:rsidRPr="009B202F">
        <w:rPr>
          <w:lang w:val="nl-NL"/>
        </w:rPr>
        <w:t>Humankind</w:t>
      </w:r>
      <w:r w:rsidR="009B202F">
        <w:rPr>
          <w:lang w:val="nl-NL"/>
        </w:rPr>
        <w:t xml:space="preserve"> nu voor staat.</w:t>
      </w:r>
    </w:p>
    <w:p w14:paraId="2CC85CFA" w14:textId="0633BA07" w:rsidR="00CA4CDF" w:rsidRDefault="00CA4CDF">
      <w:pPr>
        <w:rPr>
          <w:lang w:val="nl-NL"/>
        </w:rPr>
      </w:pPr>
      <w:r>
        <w:rPr>
          <w:lang w:val="nl-NL"/>
        </w:rPr>
        <w:br w:type="page"/>
      </w:r>
    </w:p>
    <w:p w14:paraId="1AC64A56" w14:textId="26AE7694" w:rsidR="004224C7" w:rsidRPr="00427F50" w:rsidRDefault="00CA4CDF" w:rsidP="00F06C1C">
      <w:pPr>
        <w:pStyle w:val="Heading1"/>
        <w:numPr>
          <w:ilvl w:val="0"/>
          <w:numId w:val="0"/>
        </w:numPr>
      </w:pPr>
      <w:r>
        <w:lastRenderedPageBreak/>
        <w:t>Invulling budget</w:t>
      </w:r>
    </w:p>
    <w:p w14:paraId="05E79980" w14:textId="0E07D460" w:rsidR="00CA4CDF" w:rsidRDefault="00CA4CDF" w:rsidP="00CA4CDF">
      <w:pPr>
        <w:rPr>
          <w:lang w:val="en-NL"/>
        </w:rPr>
      </w:pPr>
      <w:r>
        <w:rPr>
          <w:lang w:val="en-NL"/>
        </w:rPr>
        <w:t>Op verzoek van Francis Willemsen maak ik een inschatting van wat er binnen de huidige opdracht gerealiseerd kan worden.</w:t>
      </w:r>
    </w:p>
    <w:p w14:paraId="241406B7" w14:textId="6E445684" w:rsidR="004224C7" w:rsidRDefault="004224C7" w:rsidP="00C56031">
      <w:pPr>
        <w:rPr>
          <w:lang w:val="en-NL"/>
        </w:rPr>
      </w:pPr>
      <w:r>
        <w:rPr>
          <w:lang w:val="en-NL"/>
        </w:rPr>
        <w:t xml:space="preserve">In de oorspronkelijke aanbieding is </w:t>
      </w:r>
      <w:r w:rsidR="006F36D0">
        <w:rPr>
          <w:lang w:val="en-NL"/>
        </w:rPr>
        <w:t xml:space="preserve">€34.300 </w:t>
      </w:r>
      <w:r>
        <w:rPr>
          <w:lang w:val="en-NL"/>
        </w:rPr>
        <w:t>gebudgeteerd</w:t>
      </w:r>
      <w:r w:rsidR="006F36D0">
        <w:rPr>
          <w:lang w:val="en-NL"/>
        </w:rPr>
        <w:t xml:space="preserve"> voor fase I t/m III</w:t>
      </w:r>
      <w:r w:rsidR="006F36D0">
        <w:rPr>
          <w:rStyle w:val="FootnoteReference"/>
          <w:lang w:val="en-NL"/>
        </w:rPr>
        <w:footnoteReference w:id="2"/>
      </w:r>
      <w:r w:rsidR="006F36D0">
        <w:rPr>
          <w:lang w:val="en-NL"/>
        </w:rPr>
        <w:t xml:space="preserve">. Daarop is t/m oktober </w:t>
      </w:r>
      <w:r w:rsidR="006F36D0">
        <w:rPr>
          <w:lang w:val="en-NL"/>
        </w:rPr>
        <w:t>€6.050</w:t>
      </w:r>
      <w:r w:rsidR="006F36D0">
        <w:rPr>
          <w:lang w:val="en-NL"/>
        </w:rPr>
        <w:t xml:space="preserve"> gefactureerd, wat betekent dat de budgetruimte per 1 november €</w:t>
      </w:r>
      <w:r w:rsidR="006F36D0" w:rsidRPr="006F36D0">
        <w:rPr>
          <w:lang w:val="en-NL"/>
        </w:rPr>
        <w:t>28</w:t>
      </w:r>
      <w:r w:rsidR="006F36D0">
        <w:rPr>
          <w:lang w:val="en-NL"/>
        </w:rPr>
        <w:t>.</w:t>
      </w:r>
      <w:r w:rsidR="006F36D0" w:rsidRPr="006F36D0">
        <w:rPr>
          <w:lang w:val="en-NL"/>
        </w:rPr>
        <w:t>250</w:t>
      </w:r>
      <w:r w:rsidR="006F36D0">
        <w:rPr>
          <w:lang w:val="en-NL"/>
        </w:rPr>
        <w:t xml:space="preserve"> bedraagt, overeenkomend met ongeveer 26 dagen.</w:t>
      </w:r>
    </w:p>
    <w:p w14:paraId="0030B391" w14:textId="4126C0FC" w:rsidR="006F36D0" w:rsidRDefault="006F36D0" w:rsidP="00C56031">
      <w:pPr>
        <w:rPr>
          <w:lang w:val="en-NL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3050"/>
        <w:gridCol w:w="1629"/>
      </w:tblGrid>
      <w:tr w:rsidR="00D94D57" w14:paraId="3DA2E824" w14:textId="77777777" w:rsidTr="00D94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68C77C60" w14:textId="77777777" w:rsidR="00D94D57" w:rsidRDefault="00D94D57" w:rsidP="00C56031">
            <w:pPr>
              <w:rPr>
                <w:lang w:val="en-NL"/>
              </w:rPr>
            </w:pPr>
          </w:p>
        </w:tc>
        <w:tc>
          <w:tcPr>
            <w:tcW w:w="1629" w:type="dxa"/>
            <w:shd w:val="clear" w:color="auto" w:fill="00AB44"/>
          </w:tcPr>
          <w:p w14:paraId="1E5AEE11" w14:textId="13D9638D" w:rsidR="00D94D57" w:rsidRDefault="00D94D57" w:rsidP="00C56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Inschatting</w:t>
            </w:r>
          </w:p>
        </w:tc>
      </w:tr>
      <w:tr w:rsidR="00D94D57" w14:paraId="667973E0" w14:textId="77777777" w:rsidTr="00D9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2DB07B74" w14:textId="4F7A5960" w:rsidR="00D94D57" w:rsidRDefault="00D94D57" w:rsidP="00C56031">
            <w:pPr>
              <w:rPr>
                <w:lang w:val="en-NL"/>
              </w:rPr>
            </w:pPr>
            <w:r>
              <w:rPr>
                <w:lang w:val="en-NL"/>
              </w:rPr>
              <w:t xml:space="preserve">Inhuizen </w:t>
            </w:r>
            <w:r w:rsidRPr="00A6090C">
              <w:rPr>
                <w:lang w:val="en-NL"/>
              </w:rPr>
              <w:t>Servicedesk</w:t>
            </w:r>
          </w:p>
        </w:tc>
        <w:tc>
          <w:tcPr>
            <w:tcW w:w="1629" w:type="dxa"/>
          </w:tcPr>
          <w:p w14:paraId="631C872A" w14:textId="1FA640FA" w:rsidR="00D94D57" w:rsidRDefault="00D94D57" w:rsidP="00C5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3</w:t>
            </w:r>
          </w:p>
        </w:tc>
      </w:tr>
      <w:tr w:rsidR="00D94D57" w14:paraId="2C4320F7" w14:textId="77777777" w:rsidTr="00D94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6E5B5754" w14:textId="6D0265AA" w:rsidR="00D94D57" w:rsidRDefault="00D94D57" w:rsidP="00C56031">
            <w:pPr>
              <w:rPr>
                <w:lang w:val="en-NL"/>
              </w:rPr>
            </w:pPr>
            <w:r>
              <w:rPr>
                <w:lang w:val="en-NL"/>
              </w:rPr>
              <w:t>Risico inventarisatie</w:t>
            </w:r>
          </w:p>
        </w:tc>
        <w:tc>
          <w:tcPr>
            <w:tcW w:w="1629" w:type="dxa"/>
          </w:tcPr>
          <w:p w14:paraId="5F2E061C" w14:textId="56A29B88" w:rsidR="00D94D57" w:rsidRDefault="00D94D57" w:rsidP="00C5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3</w:t>
            </w:r>
          </w:p>
        </w:tc>
      </w:tr>
      <w:tr w:rsidR="00D94D57" w14:paraId="7DE678BF" w14:textId="77777777" w:rsidTr="00D9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649A0662" w14:textId="6843DC48" w:rsidR="00D94D57" w:rsidRDefault="00D94D57" w:rsidP="00C56031">
            <w:pPr>
              <w:rPr>
                <w:lang w:val="en-NL"/>
              </w:rPr>
            </w:pPr>
            <w:r>
              <w:rPr>
                <w:lang w:val="en-NL"/>
              </w:rPr>
              <w:t>Fit/gap analyse</w:t>
            </w:r>
          </w:p>
        </w:tc>
        <w:tc>
          <w:tcPr>
            <w:tcW w:w="1629" w:type="dxa"/>
          </w:tcPr>
          <w:p w14:paraId="0A80622E" w14:textId="1B5EAC10" w:rsidR="00D94D57" w:rsidRDefault="00D94D57" w:rsidP="00C5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2</w:t>
            </w:r>
          </w:p>
        </w:tc>
      </w:tr>
      <w:tr w:rsidR="00D94D57" w14:paraId="28520439" w14:textId="77777777" w:rsidTr="00D94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0E2CAFE6" w14:textId="1CF5D1D2" w:rsidR="00D94D57" w:rsidRDefault="00D94D57" w:rsidP="00C56031">
            <w:pPr>
              <w:rPr>
                <w:lang w:val="en-NL"/>
              </w:rPr>
            </w:pPr>
            <w:r>
              <w:rPr>
                <w:lang w:val="en-NL"/>
              </w:rPr>
              <w:t>Implementatieplan</w:t>
            </w:r>
          </w:p>
        </w:tc>
        <w:tc>
          <w:tcPr>
            <w:tcW w:w="1629" w:type="dxa"/>
          </w:tcPr>
          <w:p w14:paraId="51DD0E6A" w14:textId="19FB9DAF" w:rsidR="00D94D57" w:rsidRDefault="00D94D57" w:rsidP="00C5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3</w:t>
            </w:r>
          </w:p>
        </w:tc>
      </w:tr>
      <w:tr w:rsidR="00D94D57" w14:paraId="0F9DA1B0" w14:textId="77777777" w:rsidTr="00D9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0CEED395" w14:textId="657484E1" w:rsidR="00D94D57" w:rsidRDefault="00D94D57" w:rsidP="00C56031">
            <w:pPr>
              <w:rPr>
                <w:lang w:val="en-NL"/>
              </w:rPr>
            </w:pPr>
            <w:r>
              <w:rPr>
                <w:lang w:val="nl-NL"/>
              </w:rPr>
              <w:t>I</w:t>
            </w:r>
            <w:r w:rsidRPr="00A6090C">
              <w:rPr>
                <w:lang w:val="nl-NL"/>
              </w:rPr>
              <w:t>nformatiebeveiligingsbeleid</w:t>
            </w:r>
          </w:p>
        </w:tc>
        <w:tc>
          <w:tcPr>
            <w:tcW w:w="1629" w:type="dxa"/>
          </w:tcPr>
          <w:p w14:paraId="1E86275F" w14:textId="585CE79B" w:rsidR="00D94D57" w:rsidRDefault="00F06C1C" w:rsidP="00C5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5</w:t>
            </w:r>
          </w:p>
        </w:tc>
      </w:tr>
      <w:tr w:rsidR="00D94D57" w14:paraId="16C865C3" w14:textId="77777777" w:rsidTr="00D94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shd w:val="clear" w:color="auto" w:fill="00AB44"/>
          </w:tcPr>
          <w:p w14:paraId="1098A153" w14:textId="5E5CABC1" w:rsidR="00D94D57" w:rsidRPr="00A6090C" w:rsidRDefault="00F06C1C" w:rsidP="00F06C1C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TOTAAL</w:t>
            </w:r>
          </w:p>
        </w:tc>
        <w:tc>
          <w:tcPr>
            <w:tcW w:w="1629" w:type="dxa"/>
          </w:tcPr>
          <w:p w14:paraId="0C414279" w14:textId="521B05AF" w:rsidR="00D94D57" w:rsidRDefault="00F06C1C" w:rsidP="00C5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L"/>
              </w:rPr>
            </w:pPr>
            <w:r>
              <w:rPr>
                <w:lang w:val="en-NL"/>
              </w:rPr>
              <w:t>16</w:t>
            </w:r>
          </w:p>
        </w:tc>
      </w:tr>
    </w:tbl>
    <w:p w14:paraId="05E0046A" w14:textId="77777777" w:rsidR="00D94D57" w:rsidRPr="00F06C1C" w:rsidRDefault="00D94D57" w:rsidP="00D94D57">
      <w:pPr>
        <w:rPr>
          <w:i/>
          <w:iCs/>
          <w:lang w:val="en-NL"/>
        </w:rPr>
      </w:pPr>
      <w:r w:rsidRPr="00F06C1C">
        <w:rPr>
          <w:i/>
          <w:iCs/>
          <w:lang w:val="en-NL"/>
        </w:rPr>
        <w:t xml:space="preserve">Stand per 1 november, in dagen </w:t>
      </w:r>
    </w:p>
    <w:p w14:paraId="7596D496" w14:textId="77777777" w:rsidR="00F06C1C" w:rsidRDefault="00F06C1C" w:rsidP="00C56031">
      <w:pPr>
        <w:rPr>
          <w:lang w:val="en-NL"/>
        </w:rPr>
      </w:pPr>
    </w:p>
    <w:p w14:paraId="0EBFADBA" w14:textId="200832F0" w:rsidR="00D94D57" w:rsidRDefault="00F06C1C" w:rsidP="00C56031">
      <w:pPr>
        <w:rPr>
          <w:lang w:val="en-NL"/>
        </w:rPr>
      </w:pPr>
      <w:r>
        <w:rPr>
          <w:lang w:val="en-NL"/>
        </w:rPr>
        <w:t>Hiermee resteren er nog 10 dagen die bijv. besteed kunnen worden aan:</w:t>
      </w:r>
    </w:p>
    <w:p w14:paraId="3B7657B0" w14:textId="77777777" w:rsidR="00F06C1C" w:rsidRDefault="00F06C1C" w:rsidP="00F06C1C">
      <w:pPr>
        <w:pStyle w:val="ListParagraph"/>
        <w:numPr>
          <w:ilvl w:val="0"/>
          <w:numId w:val="27"/>
        </w:numPr>
        <w:rPr>
          <w:lang w:val="en-NL"/>
        </w:rPr>
      </w:pPr>
      <w:r>
        <w:rPr>
          <w:lang w:val="en-NL"/>
        </w:rPr>
        <w:t>Risicomanagement bij de transities uit de Roadmap ICT</w:t>
      </w:r>
    </w:p>
    <w:p w14:paraId="274C0BC0" w14:textId="7CDA2CD5" w:rsidR="00D94D57" w:rsidRDefault="00D94D57" w:rsidP="00F06C1C">
      <w:pPr>
        <w:pStyle w:val="ListParagraph"/>
        <w:numPr>
          <w:ilvl w:val="0"/>
          <w:numId w:val="27"/>
        </w:numPr>
        <w:rPr>
          <w:lang w:val="en-NL"/>
        </w:rPr>
      </w:pPr>
      <w:r w:rsidRPr="00F06C1C">
        <w:rPr>
          <w:lang w:val="en-NL"/>
        </w:rPr>
        <w:t xml:space="preserve">Ontwikkeling van de capaciteiten om invulling te geven aan het </w:t>
      </w:r>
      <w:r w:rsidRPr="00F06C1C">
        <w:rPr>
          <w:lang w:val="en-NL"/>
        </w:rPr>
        <w:t>informatiebeveiligingsbeleid</w:t>
      </w:r>
    </w:p>
    <w:p w14:paraId="4CA78890" w14:textId="028C7A2F" w:rsidR="00F06C1C" w:rsidRDefault="00F06C1C" w:rsidP="00F06C1C">
      <w:pPr>
        <w:pStyle w:val="ListParagraph"/>
        <w:numPr>
          <w:ilvl w:val="0"/>
          <w:numId w:val="27"/>
        </w:numPr>
        <w:rPr>
          <w:lang w:val="en-NL"/>
        </w:rPr>
      </w:pPr>
      <w:r>
        <w:rPr>
          <w:lang w:val="en-NL"/>
        </w:rPr>
        <w:t xml:space="preserve">Verbetering van sturing en rapportage op </w:t>
      </w:r>
      <w:r w:rsidRPr="00F06C1C">
        <w:rPr>
          <w:lang w:val="en-NL"/>
        </w:rPr>
        <w:t>informatiebeveiliging</w:t>
      </w:r>
      <w:r>
        <w:rPr>
          <w:lang w:val="en-NL"/>
        </w:rPr>
        <w:t xml:space="preserve"> i.s.m. Ilionx</w:t>
      </w:r>
    </w:p>
    <w:p w14:paraId="19FCD8A0" w14:textId="31123883" w:rsidR="00F06C1C" w:rsidRDefault="00F06C1C" w:rsidP="00F06C1C">
      <w:pPr>
        <w:pStyle w:val="ListParagraph"/>
        <w:numPr>
          <w:ilvl w:val="0"/>
          <w:numId w:val="27"/>
        </w:numPr>
        <w:rPr>
          <w:lang w:val="en-NL"/>
        </w:rPr>
      </w:pPr>
      <w:r>
        <w:rPr>
          <w:lang w:val="en-NL"/>
        </w:rPr>
        <w:t xml:space="preserve">Awareness training van </w:t>
      </w:r>
      <w:r w:rsidRPr="00F06C1C">
        <w:rPr>
          <w:lang w:val="en-NL"/>
        </w:rPr>
        <w:t>medewerker</w:t>
      </w:r>
      <w:r>
        <w:rPr>
          <w:lang w:val="en-NL"/>
        </w:rPr>
        <w:t>s en management</w:t>
      </w:r>
    </w:p>
    <w:p w14:paraId="07BE5812" w14:textId="2C3FA0CA" w:rsidR="00F06C1C" w:rsidRPr="00F06C1C" w:rsidRDefault="00F06C1C" w:rsidP="00F06C1C">
      <w:pPr>
        <w:pStyle w:val="ListParagraph"/>
        <w:numPr>
          <w:ilvl w:val="0"/>
          <w:numId w:val="27"/>
        </w:numPr>
        <w:rPr>
          <w:lang w:val="en-NL"/>
        </w:rPr>
      </w:pPr>
      <w:r>
        <w:rPr>
          <w:lang w:val="en-NL"/>
        </w:rPr>
        <w:t>Borging van het beleid in de organisatie.</w:t>
      </w:r>
    </w:p>
    <w:p w14:paraId="5E014B02" w14:textId="77777777" w:rsidR="004224C7" w:rsidRPr="00C56031" w:rsidRDefault="004224C7" w:rsidP="00C56031">
      <w:pPr>
        <w:rPr>
          <w:lang w:val="en-NL"/>
        </w:rPr>
      </w:pPr>
    </w:p>
    <w:sectPr w:rsidR="004224C7" w:rsidRPr="00C5603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440" w:bottom="1080" w:left="1440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0CAE" w14:textId="77777777" w:rsidR="00A31E53" w:rsidRDefault="00A31E53">
      <w:pPr>
        <w:spacing w:before="0" w:line="240" w:lineRule="auto"/>
      </w:pPr>
      <w:r>
        <w:separator/>
      </w:r>
    </w:p>
  </w:endnote>
  <w:endnote w:type="continuationSeparator" w:id="0">
    <w:p w14:paraId="414A0E60" w14:textId="77777777" w:rsidR="00A31E53" w:rsidRDefault="00A31E5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roxima Nova">
    <w:altName w:val="Tahoma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2CB29" w14:textId="77777777" w:rsidR="00270EED" w:rsidRDefault="00032FE6">
    <w:pPr>
      <w:jc w:val="right"/>
    </w:pPr>
    <w:r>
      <w:fldChar w:fldCharType="begin"/>
    </w:r>
    <w:r>
      <w:instrText>PAGE</w:instrText>
    </w:r>
    <w:r>
      <w:fldChar w:fldCharType="separate"/>
    </w:r>
    <w:r w:rsidR="00FA1793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FA179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EA14" w14:textId="77777777" w:rsidR="00270EED" w:rsidRDefault="00270EED">
    <w:pPr>
      <w:pBdr>
        <w:top w:val="nil"/>
        <w:left w:val="nil"/>
        <w:bottom w:val="nil"/>
        <w:right w:val="nil"/>
        <w:between w:val="nil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3C8B1" w14:textId="77777777" w:rsidR="00A31E53" w:rsidRDefault="00A31E53">
      <w:pPr>
        <w:spacing w:before="0" w:line="240" w:lineRule="auto"/>
      </w:pPr>
      <w:r>
        <w:separator/>
      </w:r>
    </w:p>
  </w:footnote>
  <w:footnote w:type="continuationSeparator" w:id="0">
    <w:p w14:paraId="0381B5F3" w14:textId="77777777" w:rsidR="00A31E53" w:rsidRDefault="00A31E53">
      <w:pPr>
        <w:spacing w:before="0" w:line="240" w:lineRule="auto"/>
      </w:pPr>
      <w:r>
        <w:continuationSeparator/>
      </w:r>
    </w:p>
  </w:footnote>
  <w:footnote w:id="1">
    <w:p w14:paraId="2B28F357" w14:textId="1D60FEBB" w:rsidR="00A6090C" w:rsidRPr="00A6090C" w:rsidRDefault="00A6090C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O.a. </w:t>
      </w:r>
      <w:r w:rsidRPr="00A6090C">
        <w:t>besturingsmodel, risicomanagement, incident response, leveranciersmanagement, sturing op informatieveiligheid en helderheid voor toezichthouders</w:t>
      </w:r>
    </w:p>
  </w:footnote>
  <w:footnote w:id="2">
    <w:p w14:paraId="156671B9" w14:textId="3F8BCD76" w:rsidR="006F36D0" w:rsidRPr="006F36D0" w:rsidRDefault="006F36D0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nl-NL"/>
        </w:rPr>
        <w:t>€3.500 + €14.300 + €</w:t>
      </w:r>
      <w:r>
        <w:rPr>
          <w:lang w:val="en-NL"/>
        </w:rPr>
        <w:t>16</w:t>
      </w:r>
      <w:r>
        <w:rPr>
          <w:lang w:val="en-NL"/>
        </w:rPr>
        <w:t>.</w:t>
      </w:r>
      <w:r>
        <w:rPr>
          <w:lang w:val="en-NL"/>
        </w:rPr>
        <w:t>500</w:t>
      </w:r>
      <w:r>
        <w:rPr>
          <w:lang w:val="en-NL"/>
        </w:rPr>
        <w:t>, excl. stelpost voor pentest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DB92A" w14:textId="77777777" w:rsidR="00270EED" w:rsidRDefault="00270EED">
    <w:pPr>
      <w:pBdr>
        <w:top w:val="nil"/>
        <w:left w:val="nil"/>
        <w:bottom w:val="nil"/>
        <w:right w:val="nil"/>
        <w:between w:val="nil"/>
      </w:pBdr>
      <w:spacing w:before="400"/>
    </w:pPr>
  </w:p>
  <w:p w14:paraId="5E1554DA" w14:textId="77777777" w:rsidR="00270EED" w:rsidRDefault="00032FE6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</w:rPr>
      <w:drawing>
        <wp:inline distT="114300" distB="114300" distL="114300" distR="114300" wp14:anchorId="7BD801C1" wp14:editId="28C85096">
          <wp:extent cx="5943600" cy="38100"/>
          <wp:effectExtent l="0" t="0" r="0" b="0"/>
          <wp:docPr id="4" name="image4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AE826" w14:textId="77777777" w:rsidR="00270EED" w:rsidRDefault="00270EED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E822A9"/>
    <w:multiLevelType w:val="hybridMultilevel"/>
    <w:tmpl w:val="85BC0640"/>
    <w:lvl w:ilvl="0" w:tplc="0490639A">
      <w:start w:val="6"/>
      <w:numFmt w:val="bullet"/>
      <w:lvlText w:val="-"/>
      <w:lvlJc w:val="left"/>
      <w:pPr>
        <w:ind w:left="720" w:hanging="360"/>
      </w:pPr>
      <w:rPr>
        <w:rFonts w:ascii="Proxima Nova" w:eastAsia="Proxima Nova" w:hAnsi="Proxima Nova" w:cs="Proxima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43AAF"/>
    <w:multiLevelType w:val="hybridMultilevel"/>
    <w:tmpl w:val="1ED658EA"/>
    <w:lvl w:ilvl="0" w:tplc="A42835BE">
      <w:start w:val="6"/>
      <w:numFmt w:val="bullet"/>
      <w:lvlText w:val="-"/>
      <w:lvlJc w:val="left"/>
      <w:pPr>
        <w:ind w:left="720" w:hanging="360"/>
      </w:pPr>
      <w:rPr>
        <w:rFonts w:ascii="Proxima Nova" w:eastAsia="Proxima Nova" w:hAnsi="Proxima Nova" w:cs="Proxima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92DB0"/>
    <w:multiLevelType w:val="multilevel"/>
    <w:tmpl w:val="CFE2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B044D7"/>
    <w:multiLevelType w:val="multilevel"/>
    <w:tmpl w:val="9A66BAB4"/>
    <w:styleLink w:val="CurrentList1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11DF5A9D"/>
    <w:multiLevelType w:val="hybridMultilevel"/>
    <w:tmpl w:val="129E95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C3DEC"/>
    <w:multiLevelType w:val="hybridMultilevel"/>
    <w:tmpl w:val="535C67E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00192">
      <w:start w:val="1"/>
      <w:numFmt w:val="bullet"/>
      <w:lvlText w:val="◦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E5E46"/>
    <w:multiLevelType w:val="hybridMultilevel"/>
    <w:tmpl w:val="E10C0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C3F6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BD4192A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E871DBA"/>
    <w:multiLevelType w:val="multilevel"/>
    <w:tmpl w:val="502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B62C6"/>
    <w:multiLevelType w:val="hybridMultilevel"/>
    <w:tmpl w:val="0D607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8222A"/>
    <w:multiLevelType w:val="hybridMultilevel"/>
    <w:tmpl w:val="92DEE4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D14EE"/>
    <w:multiLevelType w:val="hybridMultilevel"/>
    <w:tmpl w:val="23C237D4"/>
    <w:lvl w:ilvl="0" w:tplc="3F38BDB4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 w15:restartNumberingAfterBreak="0">
    <w:nsid w:val="54395345"/>
    <w:multiLevelType w:val="multilevel"/>
    <w:tmpl w:val="A3069A1C"/>
    <w:lvl w:ilvl="0">
      <w:start w:val="1"/>
      <w:numFmt w:val="bullet"/>
      <w:lvlText w:val="●"/>
      <w:lvlJc w:val="left"/>
      <w:pPr>
        <w:ind w:left="-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52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24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8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409" w:hanging="360"/>
      </w:pPr>
      <w:rPr>
        <w:u w:val="none"/>
      </w:rPr>
    </w:lvl>
  </w:abstractNum>
  <w:abstractNum w:abstractNumId="19" w15:restartNumberingAfterBreak="0">
    <w:nsid w:val="564733AA"/>
    <w:multiLevelType w:val="multilevel"/>
    <w:tmpl w:val="81E24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FC4BD6"/>
    <w:multiLevelType w:val="hybridMultilevel"/>
    <w:tmpl w:val="F9BE94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D01AC"/>
    <w:multiLevelType w:val="multilevel"/>
    <w:tmpl w:val="7E308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073597D"/>
    <w:multiLevelType w:val="hybridMultilevel"/>
    <w:tmpl w:val="232E0EC2"/>
    <w:lvl w:ilvl="0" w:tplc="DA86DCB2">
      <w:start w:val="12"/>
      <w:numFmt w:val="bullet"/>
      <w:lvlText w:val="-"/>
      <w:lvlJc w:val="left"/>
      <w:pPr>
        <w:ind w:left="720" w:hanging="360"/>
      </w:pPr>
      <w:rPr>
        <w:rFonts w:ascii="Proxima Nova" w:eastAsia="Proxima Nova" w:hAnsi="Proxima Nova" w:cs="Proxima Nov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12782"/>
    <w:multiLevelType w:val="hybridMultilevel"/>
    <w:tmpl w:val="11265B38"/>
    <w:lvl w:ilvl="0" w:tplc="08090017">
      <w:start w:val="1"/>
      <w:numFmt w:val="lowerLetter"/>
      <w:lvlText w:val="%1)"/>
      <w:lvlJc w:val="left"/>
      <w:pPr>
        <w:ind w:left="852" w:hanging="360"/>
      </w:pPr>
    </w:lvl>
    <w:lvl w:ilvl="1" w:tplc="08090019" w:tentative="1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4" w15:restartNumberingAfterBreak="0">
    <w:nsid w:val="6D397DE4"/>
    <w:multiLevelType w:val="hybridMultilevel"/>
    <w:tmpl w:val="95FEDBD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AB5F2B"/>
    <w:multiLevelType w:val="hybridMultilevel"/>
    <w:tmpl w:val="69484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3267B"/>
    <w:multiLevelType w:val="hybridMultilevel"/>
    <w:tmpl w:val="07DE4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180467">
    <w:abstractNumId w:val="21"/>
  </w:num>
  <w:num w:numId="2" w16cid:durableId="866867836">
    <w:abstractNumId w:val="19"/>
  </w:num>
  <w:num w:numId="3" w16cid:durableId="185098660">
    <w:abstractNumId w:val="18"/>
  </w:num>
  <w:num w:numId="4" w16cid:durableId="1358432882">
    <w:abstractNumId w:val="23"/>
  </w:num>
  <w:num w:numId="5" w16cid:durableId="1245341830">
    <w:abstractNumId w:val="17"/>
  </w:num>
  <w:num w:numId="6" w16cid:durableId="715475457">
    <w:abstractNumId w:val="8"/>
  </w:num>
  <w:num w:numId="7" w16cid:durableId="2080202127">
    <w:abstractNumId w:val="25"/>
  </w:num>
  <w:num w:numId="8" w16cid:durableId="494346291">
    <w:abstractNumId w:val="0"/>
  </w:num>
  <w:num w:numId="9" w16cid:durableId="1594194694">
    <w:abstractNumId w:val="1"/>
  </w:num>
  <w:num w:numId="10" w16cid:durableId="2041465042">
    <w:abstractNumId w:val="2"/>
  </w:num>
  <w:num w:numId="11" w16cid:durableId="1740787452">
    <w:abstractNumId w:val="3"/>
  </w:num>
  <w:num w:numId="12" w16cid:durableId="1281449890">
    <w:abstractNumId w:val="4"/>
  </w:num>
  <w:num w:numId="13" w16cid:durableId="1754817885">
    <w:abstractNumId w:val="11"/>
  </w:num>
  <w:num w:numId="14" w16cid:durableId="1317995023">
    <w:abstractNumId w:val="10"/>
  </w:num>
  <w:num w:numId="15" w16cid:durableId="1972440139">
    <w:abstractNumId w:val="24"/>
  </w:num>
  <w:num w:numId="16" w16cid:durableId="1778913252">
    <w:abstractNumId w:val="16"/>
  </w:num>
  <w:num w:numId="17" w16cid:durableId="609355338">
    <w:abstractNumId w:val="20"/>
  </w:num>
  <w:num w:numId="18" w16cid:durableId="828979411">
    <w:abstractNumId w:val="7"/>
  </w:num>
  <w:num w:numId="19" w16cid:durableId="1178233445">
    <w:abstractNumId w:val="14"/>
  </w:num>
  <w:num w:numId="20" w16cid:durableId="719281214">
    <w:abstractNumId w:val="22"/>
  </w:num>
  <w:num w:numId="21" w16cid:durableId="1082263068">
    <w:abstractNumId w:val="9"/>
  </w:num>
  <w:num w:numId="22" w16cid:durableId="617445668">
    <w:abstractNumId w:val="12"/>
  </w:num>
  <w:num w:numId="23" w16cid:durableId="148716335">
    <w:abstractNumId w:val="13"/>
  </w:num>
  <w:num w:numId="24" w16cid:durableId="855340696">
    <w:abstractNumId w:val="26"/>
  </w:num>
  <w:num w:numId="25" w16cid:durableId="542055693">
    <w:abstractNumId w:val="15"/>
  </w:num>
  <w:num w:numId="26" w16cid:durableId="644118187">
    <w:abstractNumId w:val="6"/>
  </w:num>
  <w:num w:numId="27" w16cid:durableId="1739159913">
    <w:abstractNumId w:val="5"/>
  </w:num>
  <w:num w:numId="28" w16cid:durableId="1944923692">
    <w:abstractNumId w:val="12"/>
  </w:num>
  <w:num w:numId="29" w16cid:durableId="8027679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ED"/>
    <w:rsid w:val="00002A74"/>
    <w:rsid w:val="00011029"/>
    <w:rsid w:val="00014D42"/>
    <w:rsid w:val="00032FE6"/>
    <w:rsid w:val="00041D95"/>
    <w:rsid w:val="000737CA"/>
    <w:rsid w:val="00082D23"/>
    <w:rsid w:val="000B20D2"/>
    <w:rsid w:val="000E5886"/>
    <w:rsid w:val="00101282"/>
    <w:rsid w:val="0019301B"/>
    <w:rsid w:val="001A6647"/>
    <w:rsid w:val="001F0D0B"/>
    <w:rsid w:val="00234429"/>
    <w:rsid w:val="00270EED"/>
    <w:rsid w:val="002A0906"/>
    <w:rsid w:val="002B10E0"/>
    <w:rsid w:val="002B5F81"/>
    <w:rsid w:val="002E3113"/>
    <w:rsid w:val="00372378"/>
    <w:rsid w:val="003874FD"/>
    <w:rsid w:val="003F7CDD"/>
    <w:rsid w:val="004224C7"/>
    <w:rsid w:val="00427F50"/>
    <w:rsid w:val="004E78D9"/>
    <w:rsid w:val="00570A3F"/>
    <w:rsid w:val="005C180D"/>
    <w:rsid w:val="005E1628"/>
    <w:rsid w:val="005F097A"/>
    <w:rsid w:val="0060624F"/>
    <w:rsid w:val="00641582"/>
    <w:rsid w:val="006607E6"/>
    <w:rsid w:val="006E028E"/>
    <w:rsid w:val="006F36D0"/>
    <w:rsid w:val="007075B8"/>
    <w:rsid w:val="00712C64"/>
    <w:rsid w:val="00714955"/>
    <w:rsid w:val="007435A7"/>
    <w:rsid w:val="007D546A"/>
    <w:rsid w:val="007E22E2"/>
    <w:rsid w:val="008032A5"/>
    <w:rsid w:val="00832931"/>
    <w:rsid w:val="008349E7"/>
    <w:rsid w:val="00840EEF"/>
    <w:rsid w:val="0087136E"/>
    <w:rsid w:val="008B05D6"/>
    <w:rsid w:val="009B202F"/>
    <w:rsid w:val="009B26DE"/>
    <w:rsid w:val="009B780D"/>
    <w:rsid w:val="009E410C"/>
    <w:rsid w:val="00A31E53"/>
    <w:rsid w:val="00A37F9D"/>
    <w:rsid w:val="00A6090C"/>
    <w:rsid w:val="00A702BE"/>
    <w:rsid w:val="00AB6567"/>
    <w:rsid w:val="00B01F26"/>
    <w:rsid w:val="00B300D2"/>
    <w:rsid w:val="00B372A5"/>
    <w:rsid w:val="00BC491B"/>
    <w:rsid w:val="00BE4584"/>
    <w:rsid w:val="00BE72B9"/>
    <w:rsid w:val="00C12349"/>
    <w:rsid w:val="00C5130E"/>
    <w:rsid w:val="00C56031"/>
    <w:rsid w:val="00CA4CDF"/>
    <w:rsid w:val="00D22C6E"/>
    <w:rsid w:val="00D73878"/>
    <w:rsid w:val="00D901BA"/>
    <w:rsid w:val="00D94D57"/>
    <w:rsid w:val="00E43450"/>
    <w:rsid w:val="00E57245"/>
    <w:rsid w:val="00E6085E"/>
    <w:rsid w:val="00EC6169"/>
    <w:rsid w:val="00EF7B8E"/>
    <w:rsid w:val="00F06C1C"/>
    <w:rsid w:val="00F246FF"/>
    <w:rsid w:val="00F54BCD"/>
    <w:rsid w:val="00F62BC7"/>
    <w:rsid w:val="00F66CA8"/>
    <w:rsid w:val="00F7094D"/>
    <w:rsid w:val="00F967F0"/>
    <w:rsid w:val="00FA1793"/>
    <w:rsid w:val="00FB0ECA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09DE"/>
  <w15:docId w15:val="{A704656D-5952-2847-BC35-9CEEA937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roxima Nova" w:eastAsia="Proxima Nova" w:hAnsi="Proxima Nova" w:cs="Proxima Nova"/>
        <w:color w:val="353744"/>
        <w:sz w:val="22"/>
        <w:szCs w:val="22"/>
        <w:lang w:val="nl" w:eastAsia="nl-NL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DF"/>
  </w:style>
  <w:style w:type="paragraph" w:styleId="Heading1">
    <w:name w:val="heading 1"/>
    <w:basedOn w:val="Normal"/>
    <w:next w:val="Normal"/>
    <w:link w:val="Heading1Char"/>
    <w:uiPriority w:val="9"/>
    <w:qFormat/>
    <w:pPr>
      <w:numPr>
        <w:numId w:val="22"/>
      </w:numPr>
      <w:spacing w:before="480" w:line="24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numPr>
        <w:ilvl w:val="1"/>
        <w:numId w:val="22"/>
      </w:numPr>
      <w:spacing w:before="320" w:line="240" w:lineRule="auto"/>
      <w:outlineLvl w:val="1"/>
    </w:pPr>
    <w:rPr>
      <w:b/>
      <w:color w:val="00AB4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numPr>
        <w:ilvl w:val="2"/>
        <w:numId w:val="22"/>
      </w:numPr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2"/>
      </w:num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2"/>
      </w:num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2"/>
      </w:num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F50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F50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F50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320" w:line="240" w:lineRule="auto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40" w:lineRule="auto"/>
    </w:pPr>
    <w:rPr>
      <w:color w:val="666666"/>
      <w:sz w:val="26"/>
      <w:szCs w:val="26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C180D"/>
    <w:pPr>
      <w:ind w:left="720"/>
      <w:contextualSpacing/>
    </w:pPr>
  </w:style>
  <w:style w:type="numbering" w:customStyle="1" w:styleId="CurrentList1">
    <w:name w:val="Current List1"/>
    <w:uiPriority w:val="99"/>
    <w:rsid w:val="005C180D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82D23"/>
    <w:rPr>
      <w:b/>
      <w:color w:val="00AB44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D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NL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5130E"/>
    <w:rPr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5130E"/>
    <w:rPr>
      <w:sz w:val="72"/>
      <w:szCs w:val="7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F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F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F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427F50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723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23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723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2378"/>
    <w:rPr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6D0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6D0"/>
    <w:rPr>
      <w:vertAlign w:val="superscript"/>
    </w:rPr>
  </w:style>
  <w:style w:type="table" w:styleId="TableGrid">
    <w:name w:val="Table Grid"/>
    <w:basedOn w:val="TableNormal"/>
    <w:uiPriority w:val="39"/>
    <w:rsid w:val="006F36D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6090C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A6090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IntenseEmphasis">
    <w:name w:val="Intense Emphasis"/>
    <w:basedOn w:val="DefaultParagraphFont"/>
    <w:uiPriority w:val="21"/>
    <w:qFormat/>
    <w:rsid w:val="00CA4CDF"/>
    <w:rPr>
      <w:i/>
      <w:iCs/>
      <w:color w:val="00AB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Kranendonk</dc:creator>
  <cp:keywords/>
  <dc:description/>
  <cp:lastModifiedBy>Richard Kranendonk</cp:lastModifiedBy>
  <cp:revision>4</cp:revision>
  <cp:lastPrinted>2024-06-06T13:38:00Z</cp:lastPrinted>
  <dcterms:created xsi:type="dcterms:W3CDTF">2024-11-14T12:08:00Z</dcterms:created>
  <dcterms:modified xsi:type="dcterms:W3CDTF">2024-11-14T14:26:00Z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">
    <vt:lpwstr>Auxilium Adviesgroep BV</vt:lpwstr>
  </property>
  <property fmtid="{D5CDD505-2E9C-101B-9397-08002B2CF9AE}" pid="3" name="version">
    <vt:lpwstr>1</vt:lpwstr>
  </property>
  <property fmtid="{D5CDD505-2E9C-101B-9397-08002B2CF9AE}" pid="4" name="author">
    <vt:lpwstr>author</vt:lpwstr>
  </property>
</Properties>
</file>