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AAA9" w14:textId="08B7E395" w:rsidR="003B1290" w:rsidRDefault="00CB735E" w:rsidP="003B1290">
      <w:pPr>
        <w:pStyle w:val="Title"/>
      </w:pPr>
      <w:r>
        <w:t xml:space="preserve">Voorstel beleidsvorming </w:t>
      </w:r>
      <w:r w:rsidR="003B1290" w:rsidRPr="003B1290">
        <w:t>informatiebeveiliging</w:t>
      </w:r>
      <w:r w:rsidR="003B1290">
        <w:t xml:space="preserve"> voor D</w:t>
      </w:r>
      <w:r>
        <w:t>AK</w:t>
      </w:r>
      <w:r w:rsidR="003B1290">
        <w:t xml:space="preserve"> kindercentra</w:t>
      </w:r>
    </w:p>
    <w:p w14:paraId="46ED8FE5" w14:textId="6588E6B8" w:rsidR="003B1290" w:rsidRDefault="003B1290" w:rsidP="003B1290">
      <w:r w:rsidRPr="003B1290">
        <w:t>Thinking Security Works</w:t>
      </w:r>
      <w:r>
        <w:t xml:space="preserve">, </w:t>
      </w:r>
      <w:r w:rsidRPr="003B1290">
        <w:t>Richard Kranendonk</w:t>
      </w:r>
      <w:r>
        <w:t xml:space="preserve">, </w:t>
      </w:r>
      <w:r w:rsidR="00CB735E" w:rsidRPr="00CB735E">
        <w:t>3 februari 2025</w:t>
      </w:r>
    </w:p>
    <w:p w14:paraId="11CDDB25" w14:textId="11E1E5D3" w:rsidR="003B1290" w:rsidRDefault="003B1290" w:rsidP="003B1290">
      <w:pPr>
        <w:pStyle w:val="Heading1"/>
      </w:pPr>
      <w:r>
        <w:t>Inleiding</w:t>
      </w:r>
    </w:p>
    <w:p w14:paraId="1BA3FA26" w14:textId="42C328F3" w:rsidR="00CB735E" w:rsidRDefault="00CB735E" w:rsidP="00CB735E">
      <w:r>
        <w:t>In de afgelopen 2 maanden hebben we belangrijke stappen gezet in het verbeteren van de informatieveiligheid voor DAK Kindercentra, door het uitvoeren van een risico inventarisatie, een business impact analyse, en het opstellen van een incident respons plan. We staan op het punt een pentest te laten uitvoeren om de kwaliteit van de bescherming tegen externe dreigingen te toetsen.</w:t>
      </w:r>
    </w:p>
    <w:p w14:paraId="74B0FB5A" w14:textId="5406DBA0" w:rsidR="00CB735E" w:rsidRDefault="00CB735E" w:rsidP="00CB735E">
      <w:r>
        <w:t>Uit de risico inventarisatie is onder andere naar voren gekomen, dat het bij DAK ontbreekt aan beleid voor informatiebeveiliging, iets dat ook al is gesignaleerd in de due dilligence- en accountantsrapportage.</w:t>
      </w:r>
    </w:p>
    <w:p w14:paraId="6E0A78DA" w14:textId="262471CD" w:rsidR="00CB735E" w:rsidRDefault="00CB735E" w:rsidP="00CB735E">
      <w:r>
        <w:t xml:space="preserve">Het hebben van een  informatiebeveiligingsbeleid is van groot belang om de continuïteit van de onderneming te waarborgen en adequaat beschermen te bieden tegen reputatieschade en aansprakelijkheidstelling door datalekken. Wetgevers, toezichthouders en verzekeraars zetten dit daarom hoog op de agenda.  </w:t>
      </w:r>
    </w:p>
    <w:p w14:paraId="6A6F9707" w14:textId="5F2E95CB" w:rsidR="00CB735E" w:rsidRDefault="00CB735E" w:rsidP="00CB735E">
      <w:r>
        <w:t>De risico inventarisatie laat zien dat 3 gebieden in het bijzonder aandacht behoeven: het managen van toegangs- en beheersrechten, het managen van leveranciers, en het sturen op informatieveiligheid met een PDCA cyclus voor risicomanagement.</w:t>
      </w:r>
    </w:p>
    <w:p w14:paraId="75FB8B44" w14:textId="77777777" w:rsidR="00CB735E" w:rsidRDefault="00CB735E" w:rsidP="00CB735E">
      <w:r>
        <w:t>Met deze notitie doe ik een voorstel voor het opstellen en borgen van beleid op de gebieden die op dit moment de meeste aandacht nodig hebben.</w:t>
      </w:r>
      <w:r>
        <w:t xml:space="preserve"> </w:t>
      </w:r>
    </w:p>
    <w:p w14:paraId="5C9F0B37" w14:textId="77777777" w:rsidR="007217AA" w:rsidRDefault="007217AA" w:rsidP="00CB735E"/>
    <w:p w14:paraId="66AD7661" w14:textId="77777777" w:rsidR="007217AA" w:rsidRDefault="007217AA">
      <w:pPr>
        <w:rPr>
          <w:rFonts w:asciiTheme="majorHAnsi" w:eastAsiaTheme="majorEastAsia" w:hAnsiTheme="majorHAnsi" w:cstheme="majorBidi"/>
          <w:color w:val="0F4761" w:themeColor="accent1" w:themeShade="BF"/>
          <w:sz w:val="40"/>
          <w:szCs w:val="40"/>
        </w:rPr>
      </w:pPr>
      <w:r>
        <w:br w:type="page"/>
      </w:r>
    </w:p>
    <w:p w14:paraId="0C77E375" w14:textId="71305804" w:rsidR="007217AA" w:rsidRDefault="007217AA" w:rsidP="007217AA">
      <w:pPr>
        <w:pStyle w:val="Heading1"/>
      </w:pPr>
      <w:r>
        <w:lastRenderedPageBreak/>
        <w:t>Aanpak</w:t>
      </w:r>
    </w:p>
    <w:p w14:paraId="0D69A973" w14:textId="77777777" w:rsidR="007217AA" w:rsidRPr="007217AA" w:rsidRDefault="007217AA" w:rsidP="007217AA">
      <w:pPr>
        <w:pStyle w:val="Heading2"/>
      </w:pPr>
      <w:r w:rsidRPr="007217AA">
        <w:t>Beleid voor toegangs- en beheersrechten</w:t>
      </w:r>
    </w:p>
    <w:p w14:paraId="2B0D42E2" w14:textId="77777777" w:rsidR="00ED3ABE" w:rsidRPr="00ED3ABE" w:rsidRDefault="007217AA" w:rsidP="00ED3ABE">
      <w:pPr>
        <w:pStyle w:val="ListParagraph"/>
        <w:numPr>
          <w:ilvl w:val="0"/>
          <w:numId w:val="7"/>
        </w:numPr>
      </w:pPr>
      <w:r w:rsidRPr="004E4384">
        <w:t>Inventariseren</w:t>
      </w:r>
      <w:r>
        <w:rPr>
          <w:b/>
          <w:bCs/>
        </w:rPr>
        <w:t xml:space="preserve"> </w:t>
      </w:r>
      <w:r w:rsidRPr="007217AA">
        <w:t>van de</w:t>
      </w:r>
      <w:r>
        <w:rPr>
          <w:b/>
          <w:bCs/>
        </w:rPr>
        <w:t xml:space="preserve"> </w:t>
      </w:r>
      <w:r>
        <w:t xml:space="preserve">de </w:t>
      </w:r>
      <w:r w:rsidRPr="004E4384">
        <w:rPr>
          <w:b/>
          <w:bCs/>
        </w:rPr>
        <w:t>soorten informatie en documenten</w:t>
      </w:r>
      <w:r w:rsidRPr="007217AA">
        <w:rPr>
          <w:b/>
          <w:bCs/>
        </w:rPr>
        <w:t xml:space="preserve"> </w:t>
      </w:r>
    </w:p>
    <w:p w14:paraId="1CDA43F3" w14:textId="77777777" w:rsidR="00ED3ABE" w:rsidRDefault="007217AA" w:rsidP="00ED3ABE">
      <w:pPr>
        <w:pStyle w:val="ListParagraph"/>
        <w:numPr>
          <w:ilvl w:val="0"/>
          <w:numId w:val="7"/>
        </w:numPr>
      </w:pPr>
      <w:r w:rsidRPr="004E4384">
        <w:t>Opstellen van een</w:t>
      </w:r>
      <w:r w:rsidRPr="00ED3ABE">
        <w:rPr>
          <w:b/>
          <w:bCs/>
        </w:rPr>
        <w:t xml:space="preserve"> </w:t>
      </w:r>
      <w:r w:rsidRPr="00ED3ABE">
        <w:rPr>
          <w:b/>
          <w:bCs/>
        </w:rPr>
        <w:t>dataclassificatie-schema</w:t>
      </w:r>
      <w:r>
        <w:t xml:space="preserve"> gebaseerd op de soorten informatie en documenten, en de risicobereidheid van het bestuur/management op verschillende impactgebieden</w:t>
      </w:r>
    </w:p>
    <w:p w14:paraId="0E52DFB8" w14:textId="6694165C" w:rsidR="00ED3ABE" w:rsidRDefault="00ED3ABE" w:rsidP="00ED3ABE">
      <w:pPr>
        <w:pStyle w:val="ListParagraph"/>
        <w:numPr>
          <w:ilvl w:val="0"/>
          <w:numId w:val="7"/>
        </w:numPr>
      </w:pPr>
      <w:r w:rsidRPr="004E4384">
        <w:t>Bepalen</w:t>
      </w:r>
      <w:r>
        <w:rPr>
          <w:b/>
          <w:bCs/>
        </w:rPr>
        <w:t xml:space="preserve"> risicobeperkende maatregelen </w:t>
      </w:r>
      <w:r>
        <w:t>voor het opslaan, bewerken, delen, archiveren en vernietigen van informatie en documenten, afhankelijk van hun classificatie</w:t>
      </w:r>
    </w:p>
    <w:p w14:paraId="226A3F00" w14:textId="38AB1AFE" w:rsidR="007217AA" w:rsidRPr="007217AA" w:rsidRDefault="00ED3ABE" w:rsidP="00ED3ABE">
      <w:pPr>
        <w:pStyle w:val="ListParagraph"/>
        <w:numPr>
          <w:ilvl w:val="0"/>
          <w:numId w:val="7"/>
        </w:numPr>
      </w:pPr>
      <w:r w:rsidRPr="004E4384">
        <w:t>Opstellen beleid</w:t>
      </w:r>
      <w:r w:rsidRPr="00ED3ABE">
        <w:rPr>
          <w:b/>
          <w:bCs/>
        </w:rPr>
        <w:t xml:space="preserve"> </w:t>
      </w:r>
      <w:r w:rsidRPr="00ED3ABE">
        <w:t xml:space="preserve">voor de </w:t>
      </w:r>
      <w:r w:rsidRPr="004E4384">
        <w:rPr>
          <w:b/>
          <w:bCs/>
        </w:rPr>
        <w:t>omgang met geclassificeerde data</w:t>
      </w:r>
      <w:r w:rsidRPr="00ED3ABE">
        <w:t xml:space="preserve"> door medewerkers</w:t>
      </w:r>
    </w:p>
    <w:p w14:paraId="6B13F4FC" w14:textId="77777777" w:rsidR="00ED3ABE" w:rsidRDefault="007217AA" w:rsidP="00ED3ABE">
      <w:pPr>
        <w:pStyle w:val="ListParagraph"/>
        <w:numPr>
          <w:ilvl w:val="0"/>
          <w:numId w:val="7"/>
        </w:numPr>
      </w:pPr>
      <w:r w:rsidRPr="007217AA">
        <w:rPr>
          <w:b/>
          <w:bCs/>
        </w:rPr>
        <w:t>Bepalen rollen</w:t>
      </w:r>
      <w:r>
        <w:t xml:space="preserve"> </w:t>
      </w:r>
      <w:r w:rsidRPr="004E4384">
        <w:rPr>
          <w:b/>
          <w:bCs/>
        </w:rPr>
        <w:t xml:space="preserve">m.b.t. </w:t>
      </w:r>
      <w:r w:rsidRPr="004E4384">
        <w:rPr>
          <w:b/>
          <w:bCs/>
        </w:rPr>
        <w:t>beheer en gebruik</w:t>
      </w:r>
      <w:r>
        <w:t xml:space="preserve"> van de verschillende systemen, gekoppeld aan het functiehuis van DAK, volgens het ‘need to know / least privilege’ principe</w:t>
      </w:r>
    </w:p>
    <w:p w14:paraId="3FE247AD" w14:textId="33F887F2" w:rsidR="00ED3ABE" w:rsidRPr="00ED3ABE" w:rsidRDefault="00ED3ABE" w:rsidP="00ED3ABE">
      <w:pPr>
        <w:pStyle w:val="ListParagraph"/>
        <w:numPr>
          <w:ilvl w:val="0"/>
          <w:numId w:val="7"/>
        </w:numPr>
      </w:pPr>
      <w:r w:rsidRPr="00ED3ABE">
        <w:rPr>
          <w:b/>
          <w:bCs/>
        </w:rPr>
        <w:t>Opstellen procedures</w:t>
      </w:r>
      <w:r w:rsidR="004E4384">
        <w:rPr>
          <w:b/>
          <w:bCs/>
        </w:rPr>
        <w:t xml:space="preserve"> en </w:t>
      </w:r>
      <w:r w:rsidRPr="00ED3ABE">
        <w:rPr>
          <w:b/>
          <w:bCs/>
        </w:rPr>
        <w:t xml:space="preserve">werkinstructies </w:t>
      </w:r>
      <w:r>
        <w:t>voor het</w:t>
      </w:r>
      <w:r w:rsidRPr="00ED3ABE">
        <w:t xml:space="preserve"> toekennen, wijziging, </w:t>
      </w:r>
      <w:r>
        <w:t xml:space="preserve">en </w:t>
      </w:r>
      <w:r w:rsidRPr="00ED3ABE">
        <w:t>ontnemen van rechten,</w:t>
      </w:r>
      <w:r>
        <w:t xml:space="preserve"> en het </w:t>
      </w:r>
      <w:r w:rsidRPr="00ED3ABE">
        <w:t>periodiek controle</w:t>
      </w:r>
      <w:r>
        <w:t>ren van de uitvoering</w:t>
      </w:r>
    </w:p>
    <w:p w14:paraId="1FC2D3E0" w14:textId="727F5FE7" w:rsidR="007217AA" w:rsidRDefault="00ED3ABE" w:rsidP="00ED3ABE">
      <w:pPr>
        <w:rPr>
          <w:i/>
          <w:iCs/>
        </w:rPr>
      </w:pPr>
      <w:r w:rsidRPr="004E4384">
        <w:rPr>
          <w:i/>
          <w:iCs/>
        </w:rPr>
        <w:t>Hiermee wordt invulling gegeven aan de volgende maatregelen uit de risico inventarisatie: 3.1a</w:t>
      </w:r>
      <w:r w:rsidR="004E4384" w:rsidRPr="004E4384">
        <w:rPr>
          <w:i/>
          <w:iCs/>
        </w:rPr>
        <w:t>-</w:t>
      </w:r>
      <w:r w:rsidRPr="004E4384">
        <w:rPr>
          <w:i/>
          <w:iCs/>
        </w:rPr>
        <w:t>c, 4.3a, 4.3c, 4.3d, 5.1d</w:t>
      </w:r>
    </w:p>
    <w:p w14:paraId="6A6DEB3A" w14:textId="77777777" w:rsidR="004E4384" w:rsidRPr="004E4384" w:rsidRDefault="004E4384" w:rsidP="00ED3ABE"/>
    <w:p w14:paraId="1BF888CE" w14:textId="612C3A81" w:rsidR="00ED3ABE" w:rsidRDefault="004E4384" w:rsidP="004E4384">
      <w:pPr>
        <w:pStyle w:val="Heading2"/>
      </w:pPr>
      <w:r>
        <w:t>Leveranciersmanagement</w:t>
      </w:r>
    </w:p>
    <w:p w14:paraId="040C62E4" w14:textId="49E9184A" w:rsidR="00ED3ABE" w:rsidRPr="00ED3ABE" w:rsidRDefault="004E4384" w:rsidP="004E4384">
      <w:r>
        <w:t xml:space="preserve">Beleid </w:t>
      </w:r>
      <w:r w:rsidR="00ED3ABE" w:rsidRPr="00ED3ABE">
        <w:t>voor het beheersen van informatieveiligheidsrisico's gedurende alle fases van IT oplossingen:</w:t>
      </w:r>
    </w:p>
    <w:p w14:paraId="61E3A5F6" w14:textId="77777777" w:rsidR="00ED3ABE" w:rsidRPr="00ED3ABE" w:rsidRDefault="00ED3ABE" w:rsidP="004E4384">
      <w:pPr>
        <w:pStyle w:val="ListParagraph"/>
        <w:numPr>
          <w:ilvl w:val="0"/>
          <w:numId w:val="12"/>
        </w:numPr>
      </w:pPr>
      <w:r w:rsidRPr="00ED3ABE">
        <w:t>Specificatie van eisen en wensen m.b.t. informatieveiligheid </w:t>
      </w:r>
    </w:p>
    <w:p w14:paraId="7562B52A" w14:textId="77777777" w:rsidR="00ED3ABE" w:rsidRPr="00ED3ABE" w:rsidRDefault="00ED3ABE" w:rsidP="004E4384">
      <w:pPr>
        <w:pStyle w:val="ListParagraph"/>
        <w:numPr>
          <w:ilvl w:val="0"/>
          <w:numId w:val="12"/>
        </w:numPr>
      </w:pPr>
      <w:r w:rsidRPr="00ED3ABE">
        <w:t>Selectie van leveranciers</w:t>
      </w:r>
    </w:p>
    <w:p w14:paraId="66CD148D" w14:textId="77777777" w:rsidR="00ED3ABE" w:rsidRPr="00ED3ABE" w:rsidRDefault="00ED3ABE" w:rsidP="004E4384">
      <w:pPr>
        <w:pStyle w:val="ListParagraph"/>
        <w:numPr>
          <w:ilvl w:val="0"/>
          <w:numId w:val="12"/>
        </w:numPr>
      </w:pPr>
      <w:r w:rsidRPr="00ED3ABE">
        <w:t>Contractvoorwaarden</w:t>
      </w:r>
    </w:p>
    <w:p w14:paraId="649A4EA5" w14:textId="77777777" w:rsidR="00ED3ABE" w:rsidRPr="00ED3ABE" w:rsidRDefault="00ED3ABE" w:rsidP="004E4384">
      <w:pPr>
        <w:pStyle w:val="ListParagraph"/>
        <w:numPr>
          <w:ilvl w:val="0"/>
          <w:numId w:val="12"/>
        </w:numPr>
      </w:pPr>
      <w:r w:rsidRPr="00ED3ABE">
        <w:t>Onboarding van leveranciers</w:t>
      </w:r>
    </w:p>
    <w:p w14:paraId="0EC7FF96" w14:textId="77777777" w:rsidR="00ED3ABE" w:rsidRPr="00ED3ABE" w:rsidRDefault="00ED3ABE" w:rsidP="004E4384">
      <w:pPr>
        <w:pStyle w:val="ListParagraph"/>
        <w:numPr>
          <w:ilvl w:val="0"/>
          <w:numId w:val="12"/>
        </w:numPr>
      </w:pPr>
      <w:r w:rsidRPr="00ED3ABE">
        <w:t>Projectfase</w:t>
      </w:r>
    </w:p>
    <w:p w14:paraId="29A4E9B2" w14:textId="77777777" w:rsidR="00ED3ABE" w:rsidRPr="00ED3ABE" w:rsidRDefault="00ED3ABE" w:rsidP="004E4384">
      <w:pPr>
        <w:pStyle w:val="ListParagraph"/>
        <w:numPr>
          <w:ilvl w:val="0"/>
          <w:numId w:val="12"/>
        </w:numPr>
      </w:pPr>
      <w:r w:rsidRPr="00ED3ABE">
        <w:t>Operationele fase</w:t>
      </w:r>
    </w:p>
    <w:p w14:paraId="36A62117" w14:textId="77777777" w:rsidR="00ED3ABE" w:rsidRPr="00ED3ABE" w:rsidRDefault="00ED3ABE" w:rsidP="004E4384">
      <w:pPr>
        <w:pStyle w:val="ListParagraph"/>
        <w:numPr>
          <w:ilvl w:val="0"/>
          <w:numId w:val="12"/>
        </w:numPr>
      </w:pPr>
      <w:r w:rsidRPr="00ED3ABE">
        <w:t>Uitfasering</w:t>
      </w:r>
    </w:p>
    <w:p w14:paraId="1E503784" w14:textId="77777777" w:rsidR="00ED3ABE" w:rsidRPr="00ED3ABE" w:rsidRDefault="00ED3ABE" w:rsidP="004E4384">
      <w:pPr>
        <w:pStyle w:val="ListParagraph"/>
        <w:numPr>
          <w:ilvl w:val="0"/>
          <w:numId w:val="12"/>
        </w:numPr>
      </w:pPr>
      <w:r w:rsidRPr="00ED3ABE">
        <w:t>Contractbeeindiging</w:t>
      </w:r>
    </w:p>
    <w:p w14:paraId="066E735C" w14:textId="77777777" w:rsidR="00ED3ABE" w:rsidRPr="00ED3ABE" w:rsidRDefault="00ED3ABE" w:rsidP="004E4384">
      <w:pPr>
        <w:pStyle w:val="ListParagraph"/>
        <w:numPr>
          <w:ilvl w:val="0"/>
          <w:numId w:val="12"/>
        </w:numPr>
      </w:pPr>
      <w:r w:rsidRPr="00ED3ABE">
        <w:t>Offboarding</w:t>
      </w:r>
    </w:p>
    <w:p w14:paraId="60D52AAD" w14:textId="3273B086" w:rsidR="00ED3ABE" w:rsidRDefault="004E4384" w:rsidP="00ED3ABE">
      <w:r>
        <w:t xml:space="preserve">Inclusief het bepalen van rollen (TBV) voor de verschillende fases, </w:t>
      </w:r>
      <w:r>
        <w:t>gekoppeld aan het functiehuis van DAK</w:t>
      </w:r>
      <w:r>
        <w:t>.</w:t>
      </w:r>
    </w:p>
    <w:p w14:paraId="6E88AD93" w14:textId="65467B6B" w:rsidR="007217AA" w:rsidRPr="004E4384" w:rsidRDefault="004E4384" w:rsidP="00CB735E">
      <w:pPr>
        <w:rPr>
          <w:i/>
          <w:iCs/>
        </w:rPr>
      </w:pPr>
      <w:r w:rsidRPr="004E4384">
        <w:rPr>
          <w:i/>
          <w:iCs/>
        </w:rPr>
        <w:t>Hiermee wordt invulling gegeven aan de volgende maatregelen uit de risico inventarisatie: 4.7c, 5.2a</w:t>
      </w:r>
    </w:p>
    <w:p w14:paraId="76BB4FD0" w14:textId="367D850B" w:rsidR="004E4384" w:rsidRDefault="004E4384" w:rsidP="004E4384">
      <w:pPr>
        <w:pStyle w:val="Heading2"/>
      </w:pPr>
      <w:r>
        <w:lastRenderedPageBreak/>
        <w:t>S</w:t>
      </w:r>
      <w:r>
        <w:t>turen op informatieveiligheid</w:t>
      </w:r>
      <w:r>
        <w:t xml:space="preserve"> </w:t>
      </w:r>
    </w:p>
    <w:p w14:paraId="71E95CDE" w14:textId="656A735A" w:rsidR="00CB735E" w:rsidRDefault="00221BA2" w:rsidP="00CB735E">
      <w:r>
        <w:t xml:space="preserve">Opstellen van </w:t>
      </w:r>
      <w:r w:rsidR="004E4384">
        <w:t xml:space="preserve">beleid voor het </w:t>
      </w:r>
      <w:r w:rsidR="004E4384">
        <w:t xml:space="preserve">sturen op informatieveiligheid met een </w:t>
      </w:r>
      <w:r w:rsidR="00237B40">
        <w:rPr>
          <w:lang w:val="nl-NL"/>
        </w:rPr>
        <w:t>PDCA</w:t>
      </w:r>
      <w:r w:rsidR="00237B40">
        <w:rPr>
          <w:rStyle w:val="FootnoteReference"/>
          <w:lang w:val="nl-NL"/>
        </w:rPr>
        <w:footnoteReference w:id="1"/>
      </w:r>
      <w:r w:rsidR="00237B40">
        <w:rPr>
          <w:lang w:val="nl-NL"/>
        </w:rPr>
        <w:t>-cyclus</w:t>
      </w:r>
      <w:r w:rsidR="00237B40">
        <w:t xml:space="preserve"> </w:t>
      </w:r>
      <w:r w:rsidR="004E4384">
        <w:t>voor risico</w:t>
      </w:r>
      <w:r w:rsidR="004E4384">
        <w:t>beheersing, cf. ISO 27001 / NIS 2 / AVG.</w:t>
      </w:r>
    </w:p>
    <w:p w14:paraId="63534706" w14:textId="77777777" w:rsidR="00221BA2" w:rsidRDefault="00237B40" w:rsidP="00CB735E">
      <w:r>
        <w:t xml:space="preserve">IS 27001stelt de onderstaande onderwerpen verplicht in een </w:t>
      </w:r>
      <w:r w:rsidRPr="00237B40">
        <w:t>Information Security Management System</w:t>
      </w:r>
      <w:r>
        <w:t xml:space="preserve"> (ISMS).</w:t>
      </w:r>
    </w:p>
    <w:p w14:paraId="75AD159A" w14:textId="3FD82D6B" w:rsidR="004E4384" w:rsidRPr="00221BA2" w:rsidRDefault="00237B40" w:rsidP="00CB735E">
      <w:pPr>
        <w:rPr>
          <w:i/>
          <w:iCs/>
        </w:rPr>
      </w:pPr>
      <w:r>
        <w:t xml:space="preserve"> </w:t>
      </w:r>
      <w:r w:rsidRPr="00221BA2">
        <w:rPr>
          <w:i/>
          <w:iCs/>
        </w:rPr>
        <w:t xml:space="preserve">We kunnen samen bekijken welke onderdelen we nu op willen pakken, en hoe ver we willen gaan </w:t>
      </w:r>
      <w:r w:rsidR="00221BA2" w:rsidRPr="00221BA2">
        <w:rPr>
          <w:i/>
          <w:iCs/>
        </w:rPr>
        <w:t>in het beschrijven en implementeren daarvan.</w:t>
      </w:r>
    </w:p>
    <w:p w14:paraId="098DA951" w14:textId="77777777" w:rsidR="00221BA2" w:rsidRDefault="00221BA2" w:rsidP="00CB735E"/>
    <w:p w14:paraId="580F9A29" w14:textId="6DDA9557" w:rsidR="00F157B2" w:rsidRPr="00F157B2" w:rsidRDefault="00F157B2" w:rsidP="00CB735E">
      <w:pPr>
        <w:rPr>
          <w:b/>
          <w:bCs/>
        </w:rPr>
      </w:pPr>
      <w:r w:rsidRPr="00F157B2">
        <w:rPr>
          <w:b/>
          <w:bCs/>
        </w:rPr>
        <w:t>H4 Context</w:t>
      </w:r>
    </w:p>
    <w:p w14:paraId="733EC3BD" w14:textId="54CA2194" w:rsidR="00F157B2" w:rsidRDefault="00F157B2" w:rsidP="00F157B2">
      <w:pPr>
        <w:pStyle w:val="ListParagraph"/>
        <w:numPr>
          <w:ilvl w:val="0"/>
          <w:numId w:val="16"/>
        </w:numPr>
      </w:pPr>
      <w:r>
        <w:t>Formuleren doelstellingen</w:t>
      </w:r>
    </w:p>
    <w:p w14:paraId="154EE79D" w14:textId="6AF10175" w:rsidR="00F157B2" w:rsidRDefault="00F157B2" w:rsidP="00F157B2">
      <w:pPr>
        <w:pStyle w:val="ListParagraph"/>
        <w:numPr>
          <w:ilvl w:val="0"/>
          <w:numId w:val="16"/>
        </w:numPr>
      </w:pPr>
      <w:r>
        <w:t>Stakeholder-analyse</w:t>
      </w:r>
    </w:p>
    <w:p w14:paraId="1E35C73B" w14:textId="54F19865" w:rsidR="00F157B2" w:rsidRDefault="00F157B2" w:rsidP="00F157B2">
      <w:pPr>
        <w:pStyle w:val="ListParagraph"/>
        <w:numPr>
          <w:ilvl w:val="0"/>
          <w:numId w:val="16"/>
        </w:numPr>
      </w:pPr>
      <w:r>
        <w:t>Toepassingsgebied</w:t>
      </w:r>
    </w:p>
    <w:p w14:paraId="144583F1" w14:textId="23D947C8" w:rsidR="00F157B2" w:rsidRDefault="00F157B2" w:rsidP="00F157B2">
      <w:pPr>
        <w:pStyle w:val="ListParagraph"/>
        <w:numPr>
          <w:ilvl w:val="0"/>
          <w:numId w:val="16"/>
        </w:numPr>
      </w:pPr>
      <w:r>
        <w:t xml:space="preserve">Managementsysteem voor </w:t>
      </w:r>
      <w:r w:rsidRPr="00F157B2">
        <w:t>informatiebeveiliging</w:t>
      </w:r>
    </w:p>
    <w:p w14:paraId="275BE948" w14:textId="2C525866" w:rsidR="004E4384" w:rsidRPr="00F157B2" w:rsidRDefault="00F157B2" w:rsidP="00CB735E">
      <w:pPr>
        <w:rPr>
          <w:b/>
          <w:bCs/>
        </w:rPr>
      </w:pPr>
      <w:r>
        <w:rPr>
          <w:b/>
          <w:bCs/>
        </w:rPr>
        <w:t>H5 Leiderschap</w:t>
      </w:r>
    </w:p>
    <w:p w14:paraId="2B24BA23" w14:textId="6AB4C0FA" w:rsidR="00F157B2" w:rsidRDefault="00F157B2" w:rsidP="00F157B2">
      <w:pPr>
        <w:pStyle w:val="ListParagraph"/>
        <w:numPr>
          <w:ilvl w:val="0"/>
          <w:numId w:val="17"/>
        </w:numPr>
      </w:pPr>
      <w:r>
        <w:t>Managementsupport en betrokkenheid</w:t>
      </w:r>
    </w:p>
    <w:p w14:paraId="733098ED" w14:textId="72F90430" w:rsidR="00F157B2" w:rsidRDefault="00F157B2" w:rsidP="00F157B2">
      <w:pPr>
        <w:pStyle w:val="ListParagraph"/>
        <w:numPr>
          <w:ilvl w:val="0"/>
          <w:numId w:val="17"/>
        </w:numPr>
      </w:pPr>
      <w:r>
        <w:t>Beschikbaarstellen van middelen</w:t>
      </w:r>
    </w:p>
    <w:p w14:paraId="0A087874" w14:textId="7F277290" w:rsidR="00F157B2" w:rsidRDefault="00F157B2" w:rsidP="00F157B2">
      <w:pPr>
        <w:pStyle w:val="ListParagraph"/>
        <w:numPr>
          <w:ilvl w:val="0"/>
          <w:numId w:val="17"/>
        </w:numPr>
      </w:pPr>
      <w:r>
        <w:t>Sturing op resultaat</w:t>
      </w:r>
    </w:p>
    <w:p w14:paraId="23EEA54A" w14:textId="72F0CFE9" w:rsidR="00F157B2" w:rsidRDefault="00F157B2" w:rsidP="00F157B2">
      <w:pPr>
        <w:pStyle w:val="ListParagraph"/>
        <w:numPr>
          <w:ilvl w:val="0"/>
          <w:numId w:val="17"/>
        </w:numPr>
      </w:pPr>
      <w:r>
        <w:t xml:space="preserve">Communicatie van het </w:t>
      </w:r>
      <w:r w:rsidRPr="00F157B2">
        <w:t>informatiebeveiligingsbeleid</w:t>
      </w:r>
    </w:p>
    <w:p w14:paraId="0F0658BA" w14:textId="2E698EB5" w:rsidR="00F157B2" w:rsidRDefault="00F157B2" w:rsidP="00F157B2">
      <w:pPr>
        <w:pStyle w:val="ListParagraph"/>
        <w:numPr>
          <w:ilvl w:val="0"/>
          <w:numId w:val="17"/>
        </w:numPr>
      </w:pPr>
      <w:r>
        <w:t>R</w:t>
      </w:r>
      <w:r w:rsidRPr="00F157B2">
        <w:t>ollen, verantwoordelijkheden en bevoegdheden</w:t>
      </w:r>
    </w:p>
    <w:p w14:paraId="1C159C57" w14:textId="5ECAE4CA" w:rsidR="00F157B2" w:rsidRPr="00F157B2" w:rsidRDefault="00F157B2" w:rsidP="00F157B2">
      <w:pPr>
        <w:rPr>
          <w:b/>
          <w:bCs/>
        </w:rPr>
      </w:pPr>
      <w:r>
        <w:rPr>
          <w:b/>
          <w:bCs/>
        </w:rPr>
        <w:t>H6 Planning</w:t>
      </w:r>
    </w:p>
    <w:p w14:paraId="5D697F06" w14:textId="6865169F" w:rsidR="00F157B2" w:rsidRDefault="00F157B2" w:rsidP="00F157B2">
      <w:pPr>
        <w:pStyle w:val="ListParagraph"/>
        <w:numPr>
          <w:ilvl w:val="0"/>
          <w:numId w:val="18"/>
        </w:numPr>
      </w:pPr>
      <w:r>
        <w:t>Risicoanalyses en bepalen maatregelen</w:t>
      </w:r>
    </w:p>
    <w:p w14:paraId="6737B3D6" w14:textId="1E6E8EA1" w:rsidR="00237B40" w:rsidRDefault="00237B40" w:rsidP="00F157B2">
      <w:pPr>
        <w:pStyle w:val="ListParagraph"/>
        <w:numPr>
          <w:ilvl w:val="0"/>
          <w:numId w:val="18"/>
        </w:numPr>
      </w:pPr>
      <w:r>
        <w:t>Planning voor de verschillende onderdelen van het ISMS</w:t>
      </w:r>
      <w:r>
        <w:rPr>
          <w:rStyle w:val="FootnoteReference"/>
        </w:rPr>
        <w:footnoteReference w:id="2"/>
      </w:r>
    </w:p>
    <w:p w14:paraId="0641CDB1" w14:textId="02000CA3" w:rsidR="00237B40" w:rsidRPr="00237B40" w:rsidRDefault="00237B40" w:rsidP="00237B40">
      <w:pPr>
        <w:rPr>
          <w:b/>
          <w:bCs/>
        </w:rPr>
      </w:pPr>
      <w:r w:rsidRPr="00237B40">
        <w:rPr>
          <w:b/>
          <w:bCs/>
        </w:rPr>
        <w:t>H7 Ondersteuning</w:t>
      </w:r>
    </w:p>
    <w:p w14:paraId="752F87F8" w14:textId="75268384" w:rsidR="00F157B2" w:rsidRDefault="00237B40" w:rsidP="00237B40">
      <w:pPr>
        <w:pStyle w:val="ListParagraph"/>
        <w:numPr>
          <w:ilvl w:val="0"/>
          <w:numId w:val="19"/>
        </w:numPr>
      </w:pPr>
      <w:r>
        <w:t>Benodigde competenties</w:t>
      </w:r>
    </w:p>
    <w:p w14:paraId="7B1DCD96" w14:textId="7612A459" w:rsidR="00237B40" w:rsidRDefault="00237B40" w:rsidP="00237B40">
      <w:pPr>
        <w:pStyle w:val="ListParagraph"/>
        <w:numPr>
          <w:ilvl w:val="0"/>
          <w:numId w:val="19"/>
        </w:numPr>
      </w:pPr>
      <w:r>
        <w:t>Bewustzijn</w:t>
      </w:r>
    </w:p>
    <w:p w14:paraId="2E19935E" w14:textId="7D66CCAB" w:rsidR="00237B40" w:rsidRDefault="00237B40" w:rsidP="00237B40">
      <w:pPr>
        <w:pStyle w:val="ListParagraph"/>
        <w:numPr>
          <w:ilvl w:val="0"/>
          <w:numId w:val="19"/>
        </w:numPr>
      </w:pPr>
      <w:r>
        <w:t>Communicatie</w:t>
      </w:r>
    </w:p>
    <w:p w14:paraId="417016B2" w14:textId="07A12B21" w:rsidR="00237B40" w:rsidRDefault="00237B40" w:rsidP="00237B40">
      <w:pPr>
        <w:pStyle w:val="ListParagraph"/>
        <w:numPr>
          <w:ilvl w:val="0"/>
          <w:numId w:val="19"/>
        </w:numPr>
      </w:pPr>
      <w:r>
        <w:t>Documentatie</w:t>
      </w:r>
    </w:p>
    <w:p w14:paraId="46D3F742" w14:textId="21794D60" w:rsidR="00237B40" w:rsidRDefault="00237B40" w:rsidP="00237B40">
      <w:pPr>
        <w:rPr>
          <w:b/>
          <w:bCs/>
        </w:rPr>
      </w:pPr>
      <w:r>
        <w:rPr>
          <w:b/>
          <w:bCs/>
        </w:rPr>
        <w:t>H8 Uitvoering</w:t>
      </w:r>
    </w:p>
    <w:p w14:paraId="43D58FA6" w14:textId="46DEBD39" w:rsidR="00237B40" w:rsidRPr="00237B40" w:rsidRDefault="00237B40" w:rsidP="00237B40">
      <w:pPr>
        <w:pStyle w:val="ListParagraph"/>
        <w:numPr>
          <w:ilvl w:val="0"/>
          <w:numId w:val="20"/>
        </w:numPr>
      </w:pPr>
      <w:r w:rsidRPr="00237B40">
        <w:t>Implementatieplanning van maatregelen (risicobehandeling)</w:t>
      </w:r>
    </w:p>
    <w:p w14:paraId="21F3666D" w14:textId="64D94A5A" w:rsidR="00237B40" w:rsidRPr="00237B40" w:rsidRDefault="00237B40" w:rsidP="00237B40">
      <w:pPr>
        <w:pStyle w:val="ListParagraph"/>
        <w:numPr>
          <w:ilvl w:val="0"/>
          <w:numId w:val="20"/>
        </w:numPr>
      </w:pPr>
      <w:r w:rsidRPr="00237B40">
        <w:t>Leveranciersmanagement</w:t>
      </w:r>
    </w:p>
    <w:p w14:paraId="395B37D3" w14:textId="54FE8C96" w:rsidR="00237B40" w:rsidRDefault="00237B40" w:rsidP="00237B40">
      <w:r>
        <w:rPr>
          <w:b/>
          <w:bCs/>
        </w:rPr>
        <w:t>H9 Evaluatie</w:t>
      </w:r>
    </w:p>
    <w:p w14:paraId="52E11B93" w14:textId="62A10BDB" w:rsidR="00237B40" w:rsidRDefault="00237B40" w:rsidP="00237B40">
      <w:pPr>
        <w:pStyle w:val="ListParagraph"/>
        <w:numPr>
          <w:ilvl w:val="0"/>
          <w:numId w:val="21"/>
        </w:numPr>
      </w:pPr>
      <w:r w:rsidRPr="00237B40">
        <w:lastRenderedPageBreak/>
        <w:t>Monitoren, meten, analyseren en evalueren</w:t>
      </w:r>
    </w:p>
    <w:p w14:paraId="513AA7F6" w14:textId="414ADE48" w:rsidR="00237B40" w:rsidRDefault="00237B40" w:rsidP="00237B40">
      <w:pPr>
        <w:pStyle w:val="ListParagraph"/>
        <w:numPr>
          <w:ilvl w:val="0"/>
          <w:numId w:val="21"/>
        </w:numPr>
      </w:pPr>
      <w:r>
        <w:t>Interne controles (audits)</w:t>
      </w:r>
    </w:p>
    <w:p w14:paraId="5912CCE2" w14:textId="34220F73" w:rsidR="00237B40" w:rsidRDefault="00237B40" w:rsidP="00237B40">
      <w:pPr>
        <w:pStyle w:val="ListParagraph"/>
        <w:numPr>
          <w:ilvl w:val="0"/>
          <w:numId w:val="21"/>
        </w:numPr>
      </w:pPr>
      <w:r>
        <w:t>Management review</w:t>
      </w:r>
    </w:p>
    <w:p w14:paraId="30D00945" w14:textId="7A60EC17" w:rsidR="00237B40" w:rsidRPr="00237B40" w:rsidRDefault="00237B40" w:rsidP="00237B40">
      <w:pPr>
        <w:rPr>
          <w:b/>
          <w:bCs/>
        </w:rPr>
      </w:pPr>
      <w:r w:rsidRPr="00237B40">
        <w:rPr>
          <w:b/>
          <w:bCs/>
        </w:rPr>
        <w:t>H10 Verbetering</w:t>
      </w:r>
    </w:p>
    <w:p w14:paraId="196B54FA" w14:textId="25C75339" w:rsidR="00237B40" w:rsidRDefault="00237B40" w:rsidP="00237B40">
      <w:pPr>
        <w:pStyle w:val="ListParagraph"/>
        <w:numPr>
          <w:ilvl w:val="0"/>
          <w:numId w:val="22"/>
        </w:numPr>
      </w:pPr>
      <w:r>
        <w:t>Omgaan met afwijkingen van beleid</w:t>
      </w:r>
    </w:p>
    <w:p w14:paraId="5B6703F9" w14:textId="58BB69BF" w:rsidR="00237B40" w:rsidRPr="00237B40" w:rsidRDefault="00237B40" w:rsidP="00237B40">
      <w:pPr>
        <w:pStyle w:val="ListParagraph"/>
        <w:numPr>
          <w:ilvl w:val="0"/>
          <w:numId w:val="22"/>
        </w:numPr>
      </w:pPr>
      <w:r>
        <w:t>Aanvulllingen en aanpassingen van beleid om herhaling te voorkomen</w:t>
      </w:r>
    </w:p>
    <w:p w14:paraId="5F86CCC5" w14:textId="7D68ABBA" w:rsidR="00F157B2" w:rsidRPr="004E4384" w:rsidRDefault="004E4384" w:rsidP="004E4384">
      <w:pPr>
        <w:rPr>
          <w:i/>
          <w:iCs/>
        </w:rPr>
      </w:pPr>
      <w:r w:rsidRPr="004E4384">
        <w:rPr>
          <w:i/>
          <w:iCs/>
        </w:rPr>
        <w:t xml:space="preserve">Hiermee wordt invulling gegeven aan de volgende maatregelen uit de risico inventarisatie: </w:t>
      </w:r>
      <w:r w:rsidR="00F157B2" w:rsidRPr="00F157B2">
        <w:rPr>
          <w:i/>
          <w:iCs/>
        </w:rPr>
        <w:t>5.1 a-d</w:t>
      </w:r>
      <w:r w:rsidR="00F157B2">
        <w:rPr>
          <w:i/>
          <w:iCs/>
        </w:rPr>
        <w:t>,</w:t>
      </w:r>
      <w:r w:rsidR="00F157B2" w:rsidRPr="00F157B2">
        <w:rPr>
          <w:i/>
          <w:iCs/>
        </w:rPr>
        <w:t xml:space="preserve"> </w:t>
      </w:r>
      <w:r w:rsidR="00F157B2" w:rsidRPr="00F157B2">
        <w:rPr>
          <w:i/>
          <w:iCs/>
        </w:rPr>
        <w:t>5.3 a-c</w:t>
      </w:r>
      <w:r w:rsidR="00F157B2">
        <w:rPr>
          <w:i/>
          <w:iCs/>
        </w:rPr>
        <w:t>,</w:t>
      </w:r>
      <w:r w:rsidR="00F157B2" w:rsidRPr="00F157B2">
        <w:rPr>
          <w:i/>
          <w:iCs/>
        </w:rPr>
        <w:t xml:space="preserve"> </w:t>
      </w:r>
      <w:r w:rsidR="00F157B2" w:rsidRPr="00F157B2">
        <w:rPr>
          <w:i/>
          <w:iCs/>
        </w:rPr>
        <w:t>5.4a, 5.5a</w:t>
      </w:r>
    </w:p>
    <w:p w14:paraId="2EEB6F65" w14:textId="77777777" w:rsidR="004E4384" w:rsidRDefault="004E4384" w:rsidP="00CB735E"/>
    <w:p w14:paraId="404523EB" w14:textId="77777777" w:rsidR="004E4384" w:rsidRDefault="004E4384" w:rsidP="00CB735E"/>
    <w:p w14:paraId="2E312093" w14:textId="77777777" w:rsidR="00380C18" w:rsidRDefault="00380C18">
      <w:pPr>
        <w:rPr>
          <w:lang w:val="nl-NL"/>
        </w:rPr>
      </w:pPr>
      <w:r>
        <w:rPr>
          <w:lang w:val="nl-NL"/>
        </w:rPr>
        <w:br w:type="page"/>
      </w:r>
    </w:p>
    <w:p w14:paraId="1C9D6A4B" w14:textId="61C92087" w:rsidR="00C511B6" w:rsidRDefault="00C511B6">
      <w:pPr>
        <w:rPr>
          <w:rFonts w:asciiTheme="majorHAnsi" w:eastAsiaTheme="majorEastAsia" w:hAnsiTheme="majorHAnsi" w:cstheme="majorBidi"/>
          <w:color w:val="0F4761" w:themeColor="accent1" w:themeShade="BF"/>
          <w:sz w:val="40"/>
          <w:szCs w:val="40"/>
          <w:lang w:val="nl-NL"/>
        </w:rPr>
      </w:pPr>
    </w:p>
    <w:p w14:paraId="64D90BB3" w14:textId="654C1695" w:rsidR="007217AA" w:rsidRPr="002F1825" w:rsidRDefault="007217AA" w:rsidP="007217AA">
      <w:pPr>
        <w:rPr>
          <w:lang w:val="nl-NL"/>
        </w:rPr>
      </w:pPr>
    </w:p>
    <w:p w14:paraId="41EBDE3C" w14:textId="40E14173" w:rsidR="0061342D" w:rsidRPr="002F1825" w:rsidRDefault="0061342D" w:rsidP="002F1825">
      <w:pPr>
        <w:rPr>
          <w:lang w:val="nl-NL"/>
        </w:rPr>
      </w:pPr>
    </w:p>
    <w:sectPr w:rsidR="0061342D" w:rsidRPr="002F1825">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7A1C" w14:textId="77777777" w:rsidR="000B336B" w:rsidRDefault="000B336B" w:rsidP="00380C18">
      <w:pPr>
        <w:spacing w:after="0" w:line="240" w:lineRule="auto"/>
      </w:pPr>
      <w:r>
        <w:separator/>
      </w:r>
    </w:p>
  </w:endnote>
  <w:endnote w:type="continuationSeparator" w:id="0">
    <w:p w14:paraId="6F5BA9DF" w14:textId="77777777" w:rsidR="000B336B" w:rsidRDefault="000B336B" w:rsidP="0038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9599074"/>
      <w:docPartObj>
        <w:docPartGallery w:val="Page Numbers (Bottom of Page)"/>
        <w:docPartUnique/>
      </w:docPartObj>
    </w:sdtPr>
    <w:sdtContent>
      <w:p w14:paraId="43B0FC83" w14:textId="1A594DB7" w:rsidR="00380C18" w:rsidRDefault="00380C18" w:rsidP="002173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51DE43" w14:textId="77777777" w:rsidR="00380C18" w:rsidRDefault="00380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4400780"/>
      <w:docPartObj>
        <w:docPartGallery w:val="Page Numbers (Bottom of Page)"/>
        <w:docPartUnique/>
      </w:docPartObj>
    </w:sdtPr>
    <w:sdtContent>
      <w:p w14:paraId="403D0634" w14:textId="76EA9950" w:rsidR="00380C18" w:rsidRDefault="00380C18" w:rsidP="002173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CC5906" w14:textId="77777777" w:rsidR="00380C18" w:rsidRDefault="00380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118C" w14:textId="77777777" w:rsidR="000B336B" w:rsidRDefault="000B336B" w:rsidP="00380C18">
      <w:pPr>
        <w:spacing w:after="0" w:line="240" w:lineRule="auto"/>
      </w:pPr>
      <w:r>
        <w:separator/>
      </w:r>
    </w:p>
  </w:footnote>
  <w:footnote w:type="continuationSeparator" w:id="0">
    <w:p w14:paraId="1C0D6E90" w14:textId="77777777" w:rsidR="000B336B" w:rsidRDefault="000B336B" w:rsidP="00380C18">
      <w:pPr>
        <w:spacing w:after="0" w:line="240" w:lineRule="auto"/>
      </w:pPr>
      <w:r>
        <w:continuationSeparator/>
      </w:r>
    </w:p>
  </w:footnote>
  <w:footnote w:id="1">
    <w:p w14:paraId="06BC5111" w14:textId="77777777" w:rsidR="00237B40" w:rsidRPr="00C511B6" w:rsidRDefault="00237B40" w:rsidP="00237B40">
      <w:pPr>
        <w:pStyle w:val="FootnoteText"/>
        <w:rPr>
          <w:lang w:val="en-US"/>
        </w:rPr>
      </w:pPr>
      <w:r>
        <w:rPr>
          <w:rStyle w:val="FootnoteReference"/>
        </w:rPr>
        <w:footnoteRef/>
      </w:r>
      <w:r>
        <w:t xml:space="preserve"> </w:t>
      </w:r>
      <w:r w:rsidRPr="00C511B6">
        <w:rPr>
          <w:lang w:val="en-US"/>
        </w:rPr>
        <w:t xml:space="preserve">Plan – Do – Check – Act, </w:t>
      </w:r>
      <w:proofErr w:type="spellStart"/>
      <w:r w:rsidRPr="00C511B6">
        <w:rPr>
          <w:lang w:val="en-US"/>
        </w:rPr>
        <w:t>ook</w:t>
      </w:r>
      <w:proofErr w:type="spellEnd"/>
      <w:r w:rsidRPr="00C511B6">
        <w:rPr>
          <w:lang w:val="en-US"/>
        </w:rPr>
        <w:t xml:space="preserve"> </w:t>
      </w:r>
      <w:proofErr w:type="spellStart"/>
      <w:r w:rsidRPr="00C511B6">
        <w:rPr>
          <w:lang w:val="en-US"/>
        </w:rPr>
        <w:t>w</w:t>
      </w:r>
      <w:r>
        <w:rPr>
          <w:lang w:val="en-US"/>
        </w:rPr>
        <w:t>el</w:t>
      </w:r>
      <w:proofErr w:type="spellEnd"/>
      <w:r>
        <w:rPr>
          <w:lang w:val="en-US"/>
        </w:rPr>
        <w:t xml:space="preserve">: Deming </w:t>
      </w:r>
      <w:proofErr w:type="spellStart"/>
      <w:r>
        <w:rPr>
          <w:lang w:val="en-US"/>
        </w:rPr>
        <w:t>cyclus</w:t>
      </w:r>
      <w:proofErr w:type="spellEnd"/>
      <w:r>
        <w:rPr>
          <w:lang w:val="en-US"/>
        </w:rPr>
        <w:t>.</w:t>
      </w:r>
    </w:p>
  </w:footnote>
  <w:footnote w:id="2">
    <w:p w14:paraId="12626F23" w14:textId="00844DD1" w:rsidR="00237B40" w:rsidRPr="00237B40" w:rsidRDefault="00237B40">
      <w:pPr>
        <w:pStyle w:val="FootnoteText"/>
        <w:rPr>
          <w:lang w:val="en-US"/>
        </w:rPr>
      </w:pPr>
      <w:r>
        <w:rPr>
          <w:rStyle w:val="FootnoteReference"/>
        </w:rPr>
        <w:footnoteRef/>
      </w:r>
      <w:r>
        <w:t xml:space="preserve"> </w:t>
      </w:r>
      <w:r w:rsidRPr="00237B40">
        <w:t>Information Security Management System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DBD"/>
    <w:multiLevelType w:val="hybridMultilevel"/>
    <w:tmpl w:val="1B4EC2FE"/>
    <w:lvl w:ilvl="0" w:tplc="4858E72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2518D"/>
    <w:multiLevelType w:val="hybridMultilevel"/>
    <w:tmpl w:val="C960D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FC1C13"/>
    <w:multiLevelType w:val="hybridMultilevel"/>
    <w:tmpl w:val="C3BC7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FD218D"/>
    <w:multiLevelType w:val="hybridMultilevel"/>
    <w:tmpl w:val="780CE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C7653E"/>
    <w:multiLevelType w:val="hybridMultilevel"/>
    <w:tmpl w:val="8918E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115F8C"/>
    <w:multiLevelType w:val="multilevel"/>
    <w:tmpl w:val="848A3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253C75"/>
    <w:multiLevelType w:val="hybridMultilevel"/>
    <w:tmpl w:val="CFFC7C38"/>
    <w:lvl w:ilvl="0" w:tplc="4484FB2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E2B68"/>
    <w:multiLevelType w:val="hybridMultilevel"/>
    <w:tmpl w:val="0F60121C"/>
    <w:lvl w:ilvl="0" w:tplc="BEAC4D68">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642BA9"/>
    <w:multiLevelType w:val="multilevel"/>
    <w:tmpl w:val="67E8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C088B"/>
    <w:multiLevelType w:val="hybridMultilevel"/>
    <w:tmpl w:val="D4927C4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CA437E"/>
    <w:multiLevelType w:val="hybridMultilevel"/>
    <w:tmpl w:val="2C94B776"/>
    <w:lvl w:ilvl="0" w:tplc="D6C0218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004C1A"/>
    <w:multiLevelType w:val="multilevel"/>
    <w:tmpl w:val="7D86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A2F4E"/>
    <w:multiLevelType w:val="multilevel"/>
    <w:tmpl w:val="053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50695"/>
    <w:multiLevelType w:val="multilevel"/>
    <w:tmpl w:val="8590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CF07CD"/>
    <w:multiLevelType w:val="multilevel"/>
    <w:tmpl w:val="FC40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F180C"/>
    <w:multiLevelType w:val="hybridMultilevel"/>
    <w:tmpl w:val="B49C65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3F03FA"/>
    <w:multiLevelType w:val="hybridMultilevel"/>
    <w:tmpl w:val="224C3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4556B1"/>
    <w:multiLevelType w:val="hybridMultilevel"/>
    <w:tmpl w:val="0D46A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9106B6"/>
    <w:multiLevelType w:val="multilevel"/>
    <w:tmpl w:val="67DA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B100CC"/>
    <w:multiLevelType w:val="hybridMultilevel"/>
    <w:tmpl w:val="B49C6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EA017E"/>
    <w:multiLevelType w:val="multilevel"/>
    <w:tmpl w:val="DCBC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237927">
    <w:abstractNumId w:val="7"/>
  </w:num>
  <w:num w:numId="2" w16cid:durableId="1040590592">
    <w:abstractNumId w:val="10"/>
  </w:num>
  <w:num w:numId="3" w16cid:durableId="1337340454">
    <w:abstractNumId w:val="7"/>
  </w:num>
  <w:num w:numId="4" w16cid:durableId="895778161">
    <w:abstractNumId w:val="0"/>
  </w:num>
  <w:num w:numId="5" w16cid:durableId="976228706">
    <w:abstractNumId w:val="6"/>
  </w:num>
  <w:num w:numId="6" w16cid:durableId="1100102292">
    <w:abstractNumId w:val="11"/>
  </w:num>
  <w:num w:numId="7" w16cid:durableId="807822174">
    <w:abstractNumId w:val="19"/>
  </w:num>
  <w:num w:numId="8" w16cid:durableId="2102679501">
    <w:abstractNumId w:val="13"/>
  </w:num>
  <w:num w:numId="9" w16cid:durableId="1027174536">
    <w:abstractNumId w:val="12"/>
  </w:num>
  <w:num w:numId="10" w16cid:durableId="1672642178">
    <w:abstractNumId w:val="14"/>
  </w:num>
  <w:num w:numId="11" w16cid:durableId="1273509622">
    <w:abstractNumId w:val="5"/>
  </w:num>
  <w:num w:numId="12" w16cid:durableId="714964869">
    <w:abstractNumId w:val="15"/>
  </w:num>
  <w:num w:numId="13" w16cid:durableId="503013878">
    <w:abstractNumId w:val="20"/>
  </w:num>
  <w:num w:numId="14" w16cid:durableId="693074875">
    <w:abstractNumId w:val="18"/>
  </w:num>
  <w:num w:numId="15" w16cid:durableId="1343971887">
    <w:abstractNumId w:val="8"/>
  </w:num>
  <w:num w:numId="16" w16cid:durableId="948002392">
    <w:abstractNumId w:val="9"/>
  </w:num>
  <w:num w:numId="17" w16cid:durableId="417099814">
    <w:abstractNumId w:val="4"/>
  </w:num>
  <w:num w:numId="18" w16cid:durableId="1515923525">
    <w:abstractNumId w:val="16"/>
  </w:num>
  <w:num w:numId="19" w16cid:durableId="1664971866">
    <w:abstractNumId w:val="2"/>
  </w:num>
  <w:num w:numId="20" w16cid:durableId="1902672165">
    <w:abstractNumId w:val="1"/>
  </w:num>
  <w:num w:numId="21" w16cid:durableId="909384581">
    <w:abstractNumId w:val="17"/>
  </w:num>
  <w:num w:numId="22" w16cid:durableId="1436510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90"/>
    <w:rsid w:val="000B336B"/>
    <w:rsid w:val="00154B15"/>
    <w:rsid w:val="00221BA2"/>
    <w:rsid w:val="00237B40"/>
    <w:rsid w:val="002E1F30"/>
    <w:rsid w:val="002F1825"/>
    <w:rsid w:val="00380C18"/>
    <w:rsid w:val="003B1290"/>
    <w:rsid w:val="004B05DD"/>
    <w:rsid w:val="004E4384"/>
    <w:rsid w:val="00602105"/>
    <w:rsid w:val="0061342D"/>
    <w:rsid w:val="007217AA"/>
    <w:rsid w:val="0076376B"/>
    <w:rsid w:val="007759B2"/>
    <w:rsid w:val="007E29F4"/>
    <w:rsid w:val="00881E55"/>
    <w:rsid w:val="00AC7D85"/>
    <w:rsid w:val="00C511B6"/>
    <w:rsid w:val="00C711E5"/>
    <w:rsid w:val="00CB735E"/>
    <w:rsid w:val="00E3413D"/>
    <w:rsid w:val="00E63B3B"/>
    <w:rsid w:val="00EA2869"/>
    <w:rsid w:val="00ED3ABE"/>
    <w:rsid w:val="00F00BD6"/>
    <w:rsid w:val="00F157B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1BC62F11"/>
  <w15:chartTrackingRefBased/>
  <w15:docId w15:val="{EF28622C-795F-B64D-AFD3-F2C660AA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384"/>
  </w:style>
  <w:style w:type="paragraph" w:styleId="Heading1">
    <w:name w:val="heading 1"/>
    <w:basedOn w:val="Normal"/>
    <w:next w:val="Normal"/>
    <w:link w:val="Heading1Char"/>
    <w:uiPriority w:val="9"/>
    <w:qFormat/>
    <w:rsid w:val="003B1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1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1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290"/>
    <w:rPr>
      <w:rFonts w:eastAsiaTheme="majorEastAsia" w:cstheme="majorBidi"/>
      <w:color w:val="272727" w:themeColor="text1" w:themeTint="D8"/>
    </w:rPr>
  </w:style>
  <w:style w:type="paragraph" w:styleId="Title">
    <w:name w:val="Title"/>
    <w:basedOn w:val="Normal"/>
    <w:next w:val="Normal"/>
    <w:link w:val="TitleChar"/>
    <w:uiPriority w:val="10"/>
    <w:qFormat/>
    <w:rsid w:val="003B1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290"/>
    <w:pPr>
      <w:spacing w:before="160"/>
      <w:jc w:val="center"/>
    </w:pPr>
    <w:rPr>
      <w:i/>
      <w:iCs/>
      <w:color w:val="404040" w:themeColor="text1" w:themeTint="BF"/>
    </w:rPr>
  </w:style>
  <w:style w:type="character" w:customStyle="1" w:styleId="QuoteChar">
    <w:name w:val="Quote Char"/>
    <w:basedOn w:val="DefaultParagraphFont"/>
    <w:link w:val="Quote"/>
    <w:uiPriority w:val="29"/>
    <w:rsid w:val="003B1290"/>
    <w:rPr>
      <w:i/>
      <w:iCs/>
      <w:color w:val="404040" w:themeColor="text1" w:themeTint="BF"/>
    </w:rPr>
  </w:style>
  <w:style w:type="paragraph" w:styleId="ListParagraph">
    <w:name w:val="List Paragraph"/>
    <w:basedOn w:val="Normal"/>
    <w:uiPriority w:val="34"/>
    <w:qFormat/>
    <w:rsid w:val="003B1290"/>
    <w:pPr>
      <w:ind w:left="720"/>
      <w:contextualSpacing/>
    </w:pPr>
  </w:style>
  <w:style w:type="character" w:styleId="IntenseEmphasis">
    <w:name w:val="Intense Emphasis"/>
    <w:basedOn w:val="DefaultParagraphFont"/>
    <w:uiPriority w:val="21"/>
    <w:qFormat/>
    <w:rsid w:val="003B1290"/>
    <w:rPr>
      <w:i/>
      <w:iCs/>
      <w:color w:val="0F4761" w:themeColor="accent1" w:themeShade="BF"/>
    </w:rPr>
  </w:style>
  <w:style w:type="paragraph" w:styleId="IntenseQuote">
    <w:name w:val="Intense Quote"/>
    <w:basedOn w:val="Normal"/>
    <w:next w:val="Normal"/>
    <w:link w:val="IntenseQuoteChar"/>
    <w:uiPriority w:val="30"/>
    <w:qFormat/>
    <w:rsid w:val="003B1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290"/>
    <w:rPr>
      <w:i/>
      <w:iCs/>
      <w:color w:val="0F4761" w:themeColor="accent1" w:themeShade="BF"/>
    </w:rPr>
  </w:style>
  <w:style w:type="character" w:styleId="IntenseReference">
    <w:name w:val="Intense Reference"/>
    <w:basedOn w:val="DefaultParagraphFont"/>
    <w:uiPriority w:val="32"/>
    <w:qFormat/>
    <w:rsid w:val="003B1290"/>
    <w:rPr>
      <w:b/>
      <w:bCs/>
      <w:smallCaps/>
      <w:color w:val="0F4761" w:themeColor="accent1" w:themeShade="BF"/>
      <w:spacing w:val="5"/>
    </w:rPr>
  </w:style>
  <w:style w:type="paragraph" w:styleId="Header">
    <w:name w:val="header"/>
    <w:basedOn w:val="Normal"/>
    <w:link w:val="HeaderChar"/>
    <w:uiPriority w:val="99"/>
    <w:unhideWhenUsed/>
    <w:rsid w:val="00380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18"/>
  </w:style>
  <w:style w:type="paragraph" w:styleId="Footer">
    <w:name w:val="footer"/>
    <w:basedOn w:val="Normal"/>
    <w:link w:val="FooterChar"/>
    <w:uiPriority w:val="99"/>
    <w:unhideWhenUsed/>
    <w:rsid w:val="00380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18"/>
  </w:style>
  <w:style w:type="character" w:styleId="PageNumber">
    <w:name w:val="page number"/>
    <w:basedOn w:val="DefaultParagraphFont"/>
    <w:uiPriority w:val="99"/>
    <w:semiHidden/>
    <w:unhideWhenUsed/>
    <w:rsid w:val="00380C18"/>
  </w:style>
  <w:style w:type="table" w:styleId="TableGrid">
    <w:name w:val="Table Grid"/>
    <w:basedOn w:val="TableNormal"/>
    <w:uiPriority w:val="39"/>
    <w:rsid w:val="00380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380C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5Dark-Accent4">
    <w:name w:val="Grid Table 5 Dark Accent 4"/>
    <w:basedOn w:val="TableNormal"/>
    <w:uiPriority w:val="50"/>
    <w:rsid w:val="00380C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paragraph" w:styleId="FootnoteText">
    <w:name w:val="footnote text"/>
    <w:basedOn w:val="Normal"/>
    <w:link w:val="FootnoteTextChar"/>
    <w:uiPriority w:val="99"/>
    <w:semiHidden/>
    <w:unhideWhenUsed/>
    <w:rsid w:val="002E1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1F30"/>
    <w:rPr>
      <w:sz w:val="20"/>
      <w:szCs w:val="20"/>
    </w:rPr>
  </w:style>
  <w:style w:type="character" w:styleId="FootnoteReference">
    <w:name w:val="footnote reference"/>
    <w:basedOn w:val="DefaultParagraphFont"/>
    <w:uiPriority w:val="99"/>
    <w:semiHidden/>
    <w:unhideWhenUsed/>
    <w:rsid w:val="002E1F30"/>
    <w:rPr>
      <w:vertAlign w:val="superscript"/>
    </w:rPr>
  </w:style>
  <w:style w:type="table" w:styleId="GridTable5Dark-Accent6">
    <w:name w:val="Grid Table 5 Dark Accent 6"/>
    <w:basedOn w:val="TableNormal"/>
    <w:uiPriority w:val="50"/>
    <w:rsid w:val="007759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paragraph" w:styleId="NormalWeb">
    <w:name w:val="Normal (Web)"/>
    <w:basedOn w:val="Normal"/>
    <w:uiPriority w:val="99"/>
    <w:semiHidden/>
    <w:unhideWhenUsed/>
    <w:rsid w:val="007217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2191">
      <w:bodyDiv w:val="1"/>
      <w:marLeft w:val="0"/>
      <w:marRight w:val="0"/>
      <w:marTop w:val="0"/>
      <w:marBottom w:val="0"/>
      <w:divBdr>
        <w:top w:val="none" w:sz="0" w:space="0" w:color="auto"/>
        <w:left w:val="none" w:sz="0" w:space="0" w:color="auto"/>
        <w:bottom w:val="none" w:sz="0" w:space="0" w:color="auto"/>
        <w:right w:val="none" w:sz="0" w:space="0" w:color="auto"/>
      </w:divBdr>
    </w:div>
    <w:div w:id="239024718">
      <w:bodyDiv w:val="1"/>
      <w:marLeft w:val="0"/>
      <w:marRight w:val="0"/>
      <w:marTop w:val="0"/>
      <w:marBottom w:val="0"/>
      <w:divBdr>
        <w:top w:val="none" w:sz="0" w:space="0" w:color="auto"/>
        <w:left w:val="none" w:sz="0" w:space="0" w:color="auto"/>
        <w:bottom w:val="none" w:sz="0" w:space="0" w:color="auto"/>
        <w:right w:val="none" w:sz="0" w:space="0" w:color="auto"/>
      </w:divBdr>
    </w:div>
    <w:div w:id="260182297">
      <w:bodyDiv w:val="1"/>
      <w:marLeft w:val="0"/>
      <w:marRight w:val="0"/>
      <w:marTop w:val="0"/>
      <w:marBottom w:val="0"/>
      <w:divBdr>
        <w:top w:val="none" w:sz="0" w:space="0" w:color="auto"/>
        <w:left w:val="none" w:sz="0" w:space="0" w:color="auto"/>
        <w:bottom w:val="none" w:sz="0" w:space="0" w:color="auto"/>
        <w:right w:val="none" w:sz="0" w:space="0" w:color="auto"/>
      </w:divBdr>
    </w:div>
    <w:div w:id="377323298">
      <w:bodyDiv w:val="1"/>
      <w:marLeft w:val="0"/>
      <w:marRight w:val="0"/>
      <w:marTop w:val="0"/>
      <w:marBottom w:val="0"/>
      <w:divBdr>
        <w:top w:val="none" w:sz="0" w:space="0" w:color="auto"/>
        <w:left w:val="none" w:sz="0" w:space="0" w:color="auto"/>
        <w:bottom w:val="none" w:sz="0" w:space="0" w:color="auto"/>
        <w:right w:val="none" w:sz="0" w:space="0" w:color="auto"/>
      </w:divBdr>
    </w:div>
    <w:div w:id="392311920">
      <w:bodyDiv w:val="1"/>
      <w:marLeft w:val="0"/>
      <w:marRight w:val="0"/>
      <w:marTop w:val="0"/>
      <w:marBottom w:val="0"/>
      <w:divBdr>
        <w:top w:val="none" w:sz="0" w:space="0" w:color="auto"/>
        <w:left w:val="none" w:sz="0" w:space="0" w:color="auto"/>
        <w:bottom w:val="none" w:sz="0" w:space="0" w:color="auto"/>
        <w:right w:val="none" w:sz="0" w:space="0" w:color="auto"/>
      </w:divBdr>
    </w:div>
    <w:div w:id="1008217218">
      <w:bodyDiv w:val="1"/>
      <w:marLeft w:val="0"/>
      <w:marRight w:val="0"/>
      <w:marTop w:val="0"/>
      <w:marBottom w:val="0"/>
      <w:divBdr>
        <w:top w:val="none" w:sz="0" w:space="0" w:color="auto"/>
        <w:left w:val="none" w:sz="0" w:space="0" w:color="auto"/>
        <w:bottom w:val="none" w:sz="0" w:space="0" w:color="auto"/>
        <w:right w:val="none" w:sz="0" w:space="0" w:color="auto"/>
      </w:divBdr>
    </w:div>
    <w:div w:id="1033769526">
      <w:bodyDiv w:val="1"/>
      <w:marLeft w:val="0"/>
      <w:marRight w:val="0"/>
      <w:marTop w:val="0"/>
      <w:marBottom w:val="0"/>
      <w:divBdr>
        <w:top w:val="none" w:sz="0" w:space="0" w:color="auto"/>
        <w:left w:val="none" w:sz="0" w:space="0" w:color="auto"/>
        <w:bottom w:val="none" w:sz="0" w:space="0" w:color="auto"/>
        <w:right w:val="none" w:sz="0" w:space="0" w:color="auto"/>
      </w:divBdr>
    </w:div>
    <w:div w:id="1274048189">
      <w:bodyDiv w:val="1"/>
      <w:marLeft w:val="0"/>
      <w:marRight w:val="0"/>
      <w:marTop w:val="0"/>
      <w:marBottom w:val="0"/>
      <w:divBdr>
        <w:top w:val="none" w:sz="0" w:space="0" w:color="auto"/>
        <w:left w:val="none" w:sz="0" w:space="0" w:color="auto"/>
        <w:bottom w:val="none" w:sz="0" w:space="0" w:color="auto"/>
        <w:right w:val="none" w:sz="0" w:space="0" w:color="auto"/>
      </w:divBdr>
    </w:div>
    <w:div w:id="1371884018">
      <w:bodyDiv w:val="1"/>
      <w:marLeft w:val="0"/>
      <w:marRight w:val="0"/>
      <w:marTop w:val="0"/>
      <w:marBottom w:val="0"/>
      <w:divBdr>
        <w:top w:val="none" w:sz="0" w:space="0" w:color="auto"/>
        <w:left w:val="none" w:sz="0" w:space="0" w:color="auto"/>
        <w:bottom w:val="none" w:sz="0" w:space="0" w:color="auto"/>
        <w:right w:val="none" w:sz="0" w:space="0" w:color="auto"/>
      </w:divBdr>
    </w:div>
    <w:div w:id="1715929690">
      <w:bodyDiv w:val="1"/>
      <w:marLeft w:val="0"/>
      <w:marRight w:val="0"/>
      <w:marTop w:val="0"/>
      <w:marBottom w:val="0"/>
      <w:divBdr>
        <w:top w:val="none" w:sz="0" w:space="0" w:color="auto"/>
        <w:left w:val="none" w:sz="0" w:space="0" w:color="auto"/>
        <w:bottom w:val="none" w:sz="0" w:space="0" w:color="auto"/>
        <w:right w:val="none" w:sz="0" w:space="0" w:color="auto"/>
      </w:divBdr>
    </w:div>
    <w:div w:id="1879464634">
      <w:bodyDiv w:val="1"/>
      <w:marLeft w:val="0"/>
      <w:marRight w:val="0"/>
      <w:marTop w:val="0"/>
      <w:marBottom w:val="0"/>
      <w:divBdr>
        <w:top w:val="none" w:sz="0" w:space="0" w:color="auto"/>
        <w:left w:val="none" w:sz="0" w:space="0" w:color="auto"/>
        <w:bottom w:val="none" w:sz="0" w:space="0" w:color="auto"/>
        <w:right w:val="none" w:sz="0" w:space="0" w:color="auto"/>
      </w:divBdr>
    </w:div>
    <w:div w:id="1923564857">
      <w:bodyDiv w:val="1"/>
      <w:marLeft w:val="0"/>
      <w:marRight w:val="0"/>
      <w:marTop w:val="0"/>
      <w:marBottom w:val="0"/>
      <w:divBdr>
        <w:top w:val="none" w:sz="0" w:space="0" w:color="auto"/>
        <w:left w:val="none" w:sz="0" w:space="0" w:color="auto"/>
        <w:bottom w:val="none" w:sz="0" w:space="0" w:color="auto"/>
        <w:right w:val="none" w:sz="0" w:space="0" w:color="auto"/>
      </w:divBdr>
    </w:div>
    <w:div w:id="1928074721">
      <w:bodyDiv w:val="1"/>
      <w:marLeft w:val="0"/>
      <w:marRight w:val="0"/>
      <w:marTop w:val="0"/>
      <w:marBottom w:val="0"/>
      <w:divBdr>
        <w:top w:val="none" w:sz="0" w:space="0" w:color="auto"/>
        <w:left w:val="none" w:sz="0" w:space="0" w:color="auto"/>
        <w:bottom w:val="none" w:sz="0" w:space="0" w:color="auto"/>
        <w:right w:val="none" w:sz="0" w:space="0" w:color="auto"/>
      </w:divBdr>
    </w:div>
    <w:div w:id="2006129712">
      <w:bodyDiv w:val="1"/>
      <w:marLeft w:val="0"/>
      <w:marRight w:val="0"/>
      <w:marTop w:val="0"/>
      <w:marBottom w:val="0"/>
      <w:divBdr>
        <w:top w:val="none" w:sz="0" w:space="0" w:color="auto"/>
        <w:left w:val="none" w:sz="0" w:space="0" w:color="auto"/>
        <w:bottom w:val="none" w:sz="0" w:space="0" w:color="auto"/>
        <w:right w:val="none" w:sz="0" w:space="0" w:color="auto"/>
      </w:divBdr>
      <w:divsChild>
        <w:div w:id="1952010052">
          <w:marLeft w:val="0"/>
          <w:marRight w:val="0"/>
          <w:marTop w:val="0"/>
          <w:marBottom w:val="0"/>
          <w:divBdr>
            <w:top w:val="none" w:sz="0" w:space="0" w:color="auto"/>
            <w:left w:val="none" w:sz="0" w:space="0" w:color="auto"/>
            <w:bottom w:val="none" w:sz="0" w:space="0" w:color="auto"/>
            <w:right w:val="none" w:sz="0" w:space="0" w:color="auto"/>
          </w:divBdr>
        </w:div>
        <w:div w:id="1925451417">
          <w:marLeft w:val="0"/>
          <w:marRight w:val="0"/>
          <w:marTop w:val="0"/>
          <w:marBottom w:val="0"/>
          <w:divBdr>
            <w:top w:val="none" w:sz="0" w:space="0" w:color="auto"/>
            <w:left w:val="none" w:sz="0" w:space="0" w:color="auto"/>
            <w:bottom w:val="none" w:sz="0" w:space="0" w:color="auto"/>
            <w:right w:val="none" w:sz="0" w:space="0" w:color="auto"/>
          </w:divBdr>
        </w:div>
        <w:div w:id="822239372">
          <w:marLeft w:val="0"/>
          <w:marRight w:val="0"/>
          <w:marTop w:val="0"/>
          <w:marBottom w:val="0"/>
          <w:divBdr>
            <w:top w:val="none" w:sz="0" w:space="0" w:color="auto"/>
            <w:left w:val="none" w:sz="0" w:space="0" w:color="auto"/>
            <w:bottom w:val="none" w:sz="0" w:space="0" w:color="auto"/>
            <w:right w:val="none" w:sz="0" w:space="0" w:color="auto"/>
          </w:divBdr>
        </w:div>
      </w:divsChild>
    </w:div>
    <w:div w:id="2034382081">
      <w:bodyDiv w:val="1"/>
      <w:marLeft w:val="0"/>
      <w:marRight w:val="0"/>
      <w:marTop w:val="0"/>
      <w:marBottom w:val="0"/>
      <w:divBdr>
        <w:top w:val="none" w:sz="0" w:space="0" w:color="auto"/>
        <w:left w:val="none" w:sz="0" w:space="0" w:color="auto"/>
        <w:bottom w:val="none" w:sz="0" w:space="0" w:color="auto"/>
        <w:right w:val="none" w:sz="0" w:space="0" w:color="auto"/>
      </w:divBdr>
    </w:div>
    <w:div w:id="2108577758">
      <w:bodyDiv w:val="1"/>
      <w:marLeft w:val="0"/>
      <w:marRight w:val="0"/>
      <w:marTop w:val="0"/>
      <w:marBottom w:val="0"/>
      <w:divBdr>
        <w:top w:val="none" w:sz="0" w:space="0" w:color="auto"/>
        <w:left w:val="none" w:sz="0" w:space="0" w:color="auto"/>
        <w:bottom w:val="none" w:sz="0" w:space="0" w:color="auto"/>
        <w:right w:val="none" w:sz="0" w:space="0" w:color="auto"/>
      </w:divBdr>
    </w:div>
    <w:div w:id="214337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5</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Kranendonk</dc:creator>
  <cp:keywords/>
  <dc:description/>
  <cp:lastModifiedBy>Richard Kranendonk</cp:lastModifiedBy>
  <cp:revision>5</cp:revision>
  <dcterms:created xsi:type="dcterms:W3CDTF">2024-10-29T11:00:00Z</dcterms:created>
  <dcterms:modified xsi:type="dcterms:W3CDTF">2025-02-03T11:47:00Z</dcterms:modified>
</cp:coreProperties>
</file>